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D6" w:rsidRPr="00764FE1" w:rsidRDefault="002426D6" w:rsidP="002426D6">
      <w:pPr>
        <w:pStyle w:val="1"/>
        <w:pageBreakBefore w:val="0"/>
        <w:numPr>
          <w:ilvl w:val="0"/>
          <w:numId w:val="0"/>
        </w:numPr>
        <w:spacing w:before="0" w:after="0"/>
        <w:ind w:left="720"/>
        <w:jc w:val="left"/>
        <w:rPr>
          <w:color w:val="auto"/>
        </w:rPr>
      </w:pPr>
      <w:bookmarkStart w:id="0" w:name="_Toc412530923"/>
      <w:bookmarkStart w:id="1" w:name="_Toc488651462"/>
      <w:bookmarkStart w:id="2" w:name="_Toc507402307"/>
      <w:bookmarkStart w:id="3" w:name="_Toc515267433"/>
      <w:r w:rsidRPr="00764FE1">
        <w:rPr>
          <w:color w:val="auto"/>
        </w:rPr>
        <w:t>Российский и мировой рынок</w:t>
      </w:r>
      <w:bookmarkEnd w:id="0"/>
      <w:r w:rsidRPr="00764FE1">
        <w:rPr>
          <w:color w:val="auto"/>
        </w:rPr>
        <w:t xml:space="preserve"> </w:t>
      </w:r>
      <w:bookmarkEnd w:id="1"/>
      <w:r w:rsidRPr="00764FE1">
        <w:rPr>
          <w:color w:val="auto"/>
        </w:rPr>
        <w:t>зерновых и масличных культур</w:t>
      </w:r>
      <w:bookmarkEnd w:id="2"/>
      <w:bookmarkEnd w:id="3"/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D04F28">
        <w:rPr>
          <w:rFonts w:ascii="Tahoma" w:hAnsi="Tahoma" w:cs="Tahoma"/>
          <w:b/>
          <w:sz w:val="18"/>
          <w:szCs w:val="18"/>
        </w:rPr>
        <w:t xml:space="preserve">Пшеница США: Чикаго начал торговую неделю с ослабления </w:t>
      </w:r>
    </w:p>
    <w:p w:rsidR="002426D6" w:rsidRPr="00D04F28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После того как в пятницу котировки июльских фьючерсов мягкой пшеницы в Чикаго обновили 10-ти месячный макс</w:t>
      </w:r>
      <w:r w:rsidRPr="00D04F28">
        <w:rPr>
          <w:rFonts w:ascii="Tahoma" w:hAnsi="Tahoma" w:cs="Tahoma"/>
          <w:sz w:val="18"/>
          <w:szCs w:val="18"/>
        </w:rPr>
        <w:t>и</w:t>
      </w:r>
      <w:r w:rsidRPr="00D04F28">
        <w:rPr>
          <w:rFonts w:ascii="Tahoma" w:hAnsi="Tahoma" w:cs="Tahoma"/>
          <w:sz w:val="18"/>
          <w:szCs w:val="18"/>
        </w:rPr>
        <w:t>мум, во вторник последовало охлаждение. Давление на Чикаго оказало ослабление соседних рынков кукурузы и сои в связи с решением США и Китая не продолжать враждебные действия в сфере торговли. Также пессимизм инв</w:t>
      </w:r>
      <w:r w:rsidRPr="00D04F28">
        <w:rPr>
          <w:rFonts w:ascii="Tahoma" w:hAnsi="Tahoma" w:cs="Tahoma"/>
          <w:sz w:val="18"/>
          <w:szCs w:val="18"/>
        </w:rPr>
        <w:t>е</w:t>
      </w:r>
      <w:r w:rsidRPr="00D04F28">
        <w:rPr>
          <w:rFonts w:ascii="Tahoma" w:hAnsi="Tahoma" w:cs="Tahoma"/>
          <w:sz w:val="18"/>
          <w:szCs w:val="18"/>
        </w:rPr>
        <w:t>сторов предопределило  укрепление курса доллара относительно мировых валют до 6-ти меся</w:t>
      </w:r>
      <w:r w:rsidRPr="00D04F28">
        <w:rPr>
          <w:rFonts w:ascii="Tahoma" w:hAnsi="Tahoma" w:cs="Tahoma"/>
          <w:sz w:val="18"/>
          <w:szCs w:val="18"/>
        </w:rPr>
        <w:t>ч</w:t>
      </w:r>
      <w:r w:rsidRPr="00D04F28">
        <w:rPr>
          <w:rFonts w:ascii="Tahoma" w:hAnsi="Tahoma" w:cs="Tahoma"/>
          <w:sz w:val="18"/>
          <w:szCs w:val="18"/>
        </w:rPr>
        <w:t xml:space="preserve">ного максимума. </w:t>
      </w:r>
    </w:p>
    <w:p w:rsidR="002426D6" w:rsidRDefault="002426D6" w:rsidP="002426D6">
      <w:pPr>
        <w:shd w:val="clear" w:color="auto" w:fill="FFFFFF"/>
        <w:suppressAutoHyphens w:val="0"/>
        <w:jc w:val="both"/>
      </w:pPr>
    </w:p>
    <w:p w:rsidR="002426D6" w:rsidRDefault="002426D6" w:rsidP="002426D6">
      <w:pPr>
        <w:shd w:val="clear" w:color="auto" w:fill="FFFFFF"/>
        <w:suppressAutoHyphens w:val="0"/>
        <w:jc w:val="center"/>
      </w:pPr>
      <w:r>
        <w:rPr>
          <w:noProof/>
          <w:lang w:eastAsia="ru-RU"/>
        </w:rPr>
        <w:drawing>
          <wp:inline distT="0" distB="0" distL="0" distR="0">
            <wp:extent cx="5419725" cy="3486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Default="002426D6" w:rsidP="002426D6">
      <w:pPr>
        <w:shd w:val="clear" w:color="auto" w:fill="FFFFFF"/>
        <w:suppressAutoHyphens w:val="0"/>
        <w:jc w:val="both"/>
      </w:pPr>
    </w:p>
    <w:p w:rsidR="002426D6" w:rsidRDefault="002426D6" w:rsidP="002426D6">
      <w:pPr>
        <w:shd w:val="clear" w:color="auto" w:fill="FFFFFF"/>
        <w:suppressAutoHyphens w:val="0"/>
        <w:jc w:val="center"/>
      </w:pPr>
      <w:r>
        <w:rPr>
          <w:noProof/>
          <w:lang w:eastAsia="ru-RU"/>
        </w:rPr>
        <w:drawing>
          <wp:inline distT="0" distB="0" distL="0" distR="0">
            <wp:extent cx="5372100" cy="3143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Default="002426D6" w:rsidP="002426D6">
      <w:pPr>
        <w:shd w:val="clear" w:color="auto" w:fill="FFFFFF"/>
        <w:suppressAutoHyphens w:val="0"/>
        <w:jc w:val="both"/>
      </w:pPr>
    </w:p>
    <w:p w:rsidR="002426D6" w:rsidRPr="00D04F28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04F28">
        <w:rPr>
          <w:rFonts w:ascii="Tahoma" w:hAnsi="Tahoma" w:cs="Tahoma"/>
          <w:b/>
          <w:sz w:val="18"/>
          <w:szCs w:val="18"/>
        </w:rPr>
        <w:t>Пшеница ЕС: Париж показал способность к росту и в отсутствие Чикаго</w:t>
      </w:r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В понедельник рынок французской пшеницы остался в одиночестве, пшеничные площадки в США были закрыты – Штаты отмечали День поминовения. Но это не помешало европейцам сыграть на прежних «коз</w:t>
      </w:r>
      <w:r w:rsidRPr="00D04F28">
        <w:rPr>
          <w:rFonts w:ascii="Tahoma" w:hAnsi="Tahoma" w:cs="Tahoma"/>
          <w:sz w:val="18"/>
          <w:szCs w:val="18"/>
        </w:rPr>
        <w:t>ы</w:t>
      </w:r>
      <w:r w:rsidRPr="00D04F28">
        <w:rPr>
          <w:rFonts w:ascii="Tahoma" w:hAnsi="Tahoma" w:cs="Tahoma"/>
          <w:sz w:val="18"/>
          <w:szCs w:val="18"/>
        </w:rPr>
        <w:t>рях» - теме засухи в США, Канаде, Австралии и России. И, как и на прошлой неделе, поддержку рынку оказывает слабый евро. В самой Франции состояние нового урожая пока остается хорошим, некоторое беспокойство вызывает лишь прогноз ливней, что чревато появлением г</w:t>
      </w:r>
      <w:r>
        <w:rPr>
          <w:rFonts w:ascii="Tahoma" w:hAnsi="Tahoma" w:cs="Tahoma"/>
          <w:sz w:val="18"/>
          <w:szCs w:val="18"/>
        </w:rPr>
        <w:t xml:space="preserve">рибковых заболеваний растений. </w:t>
      </w:r>
    </w:p>
    <w:p w:rsidR="002426D6" w:rsidRPr="00E43F47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lastRenderedPageBreak/>
        <w:t>Сентябрьские котировки мукомольной пшеницы на парижской бирже выросли на €1,25 до 183,75 €/тонна (213,58 $/тонна).</w:t>
      </w:r>
      <w:r>
        <w:rPr>
          <w:rFonts w:ascii="Tahoma" w:hAnsi="Tahoma" w:cs="Tahoma"/>
          <w:sz w:val="18"/>
          <w:szCs w:val="18"/>
        </w:rPr>
        <w:t xml:space="preserve"> </w:t>
      </w:r>
      <w:r w:rsidRPr="00E43F47">
        <w:rPr>
          <w:rFonts w:ascii="Tahoma" w:hAnsi="Tahoma" w:cs="Tahoma"/>
          <w:sz w:val="18"/>
          <w:szCs w:val="18"/>
        </w:rPr>
        <w:t>США будут ключевым драйвером формирования мировых цен на сою в первой половине 2018/19 МГ - прогноз</w:t>
      </w:r>
    </w:p>
    <w:p w:rsidR="002426D6" w:rsidRPr="00E43F47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 xml:space="preserve">По прогнозам экспертов Oil World (Германия), в первой половине 2018/19 МГ (сентябрь-февраль) основным драйвером формирования мировых цен на соевые бобы будут являться США. </w:t>
      </w:r>
    </w:p>
    <w:p w:rsidR="002426D6" w:rsidRPr="00E43F47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>Как поясняют аналитики, ключевой причиной этого станет традиционная для данного периода сезона завис</w:t>
      </w:r>
      <w:r w:rsidRPr="00E43F47">
        <w:rPr>
          <w:rFonts w:ascii="Tahoma" w:hAnsi="Tahoma" w:cs="Tahoma"/>
          <w:sz w:val="18"/>
          <w:szCs w:val="18"/>
        </w:rPr>
        <w:t>и</w:t>
      </w:r>
      <w:r w:rsidRPr="00E43F47">
        <w:rPr>
          <w:rFonts w:ascii="Tahoma" w:hAnsi="Tahoma" w:cs="Tahoma"/>
          <w:sz w:val="18"/>
          <w:szCs w:val="18"/>
        </w:rPr>
        <w:t xml:space="preserve">мость мирового рынка </w:t>
      </w:r>
      <w:proofErr w:type="gramStart"/>
      <w:r w:rsidRPr="00E43F47">
        <w:rPr>
          <w:rFonts w:ascii="Tahoma" w:hAnsi="Tahoma" w:cs="Tahoma"/>
          <w:sz w:val="18"/>
          <w:szCs w:val="18"/>
        </w:rPr>
        <w:t>от</w:t>
      </w:r>
      <w:proofErr w:type="gramEnd"/>
      <w:r w:rsidRPr="00E43F47">
        <w:rPr>
          <w:rFonts w:ascii="Tahoma" w:hAnsi="Tahoma" w:cs="Tahoma"/>
          <w:sz w:val="18"/>
          <w:szCs w:val="18"/>
        </w:rPr>
        <w:t xml:space="preserve"> американской масличной. В частности, в первой половине сезона ожидается увеличение мирового п</w:t>
      </w:r>
      <w:r w:rsidRPr="00E43F47">
        <w:rPr>
          <w:rFonts w:ascii="Tahoma" w:hAnsi="Tahoma" w:cs="Tahoma"/>
          <w:sz w:val="18"/>
          <w:szCs w:val="18"/>
        </w:rPr>
        <w:t>о</w:t>
      </w:r>
      <w:r w:rsidRPr="00E43F47">
        <w:rPr>
          <w:rFonts w:ascii="Tahoma" w:hAnsi="Tahoma" w:cs="Tahoma"/>
          <w:sz w:val="18"/>
          <w:szCs w:val="18"/>
        </w:rPr>
        <w:t>требления масличной происхождением преимущественно из США в условиях снижения производства соевых бобов в странах Южной Америки по итогам 2017/18 МГ, которое приведет к сокращению поставок южноамериканской масличной на мировой рынок. Более того, ожидается, что Аргентина будет вынуждена осуществлять закупку америка</w:t>
      </w:r>
      <w:r w:rsidRPr="00E43F47">
        <w:rPr>
          <w:rFonts w:ascii="Tahoma" w:hAnsi="Tahoma" w:cs="Tahoma"/>
          <w:sz w:val="18"/>
          <w:szCs w:val="18"/>
        </w:rPr>
        <w:t>н</w:t>
      </w:r>
      <w:r w:rsidRPr="00E43F47">
        <w:rPr>
          <w:rFonts w:ascii="Tahoma" w:hAnsi="Tahoma" w:cs="Tahoma"/>
          <w:sz w:val="18"/>
          <w:szCs w:val="18"/>
        </w:rPr>
        <w:t xml:space="preserve">ской сои в период с сентября по декабрь 2018 г. с целью компенсировать собственный низкий урожай. </w:t>
      </w:r>
    </w:p>
    <w:p w:rsidR="002426D6" w:rsidRPr="00E43F47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>В то же время, во второй половине будущего сезона спрос на соевые бобы из США будет зависеть от таких факторов, как объем производства масличной в Южной Америке, объем закупок продукции Китаем и мировое предложение конк</w:t>
      </w:r>
      <w:r w:rsidRPr="00E43F47">
        <w:rPr>
          <w:rFonts w:ascii="Tahoma" w:hAnsi="Tahoma" w:cs="Tahoma"/>
          <w:sz w:val="18"/>
          <w:szCs w:val="18"/>
        </w:rPr>
        <w:t>у</w:t>
      </w:r>
      <w:r w:rsidRPr="00E43F47">
        <w:rPr>
          <w:rFonts w:ascii="Tahoma" w:hAnsi="Tahoma" w:cs="Tahoma"/>
          <w:sz w:val="18"/>
          <w:szCs w:val="18"/>
        </w:rPr>
        <w:t xml:space="preserve">рирующей продукции. </w:t>
      </w:r>
    </w:p>
    <w:p w:rsidR="002426D6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>Также аналитики ожидают, что уборочные площади под соевыми бобами в США в следующем сезоне могут с</w:t>
      </w:r>
      <w:r w:rsidRPr="00E43F47">
        <w:rPr>
          <w:rFonts w:ascii="Tahoma" w:hAnsi="Tahoma" w:cs="Tahoma"/>
          <w:sz w:val="18"/>
          <w:szCs w:val="18"/>
        </w:rPr>
        <w:t>о</w:t>
      </w:r>
      <w:r w:rsidRPr="00E43F47">
        <w:rPr>
          <w:rFonts w:ascii="Tahoma" w:hAnsi="Tahoma" w:cs="Tahoma"/>
          <w:sz w:val="18"/>
          <w:szCs w:val="18"/>
        </w:rPr>
        <w:t>ставить 36,1 млн. га (против 36,2 млн. га в 2017/18 МГ), а урожайность масличной может увеличиться до 3,35 (3,3) т/га.</w:t>
      </w:r>
    </w:p>
    <w:p w:rsidR="002426D6" w:rsidRPr="008871BF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8871BF" w:rsidRDefault="002426D6" w:rsidP="002426D6">
      <w:pPr>
        <w:pStyle w:val="1"/>
        <w:keepNext w:val="0"/>
        <w:pageBreakBefore w:val="0"/>
        <w:shd w:val="clear" w:color="auto" w:fill="FFFFFF"/>
        <w:spacing w:before="0" w:after="0"/>
        <w:ind w:left="431" w:hanging="431"/>
        <w:rPr>
          <w:color w:val="333333"/>
          <w:sz w:val="18"/>
          <w:szCs w:val="18"/>
        </w:rPr>
      </w:pPr>
      <w:r w:rsidRPr="008871BF">
        <w:rPr>
          <w:color w:val="333333"/>
          <w:sz w:val="18"/>
          <w:szCs w:val="18"/>
        </w:rPr>
        <w:t>Динамика мировых и внутренних цен пшеницы на 25 мая 2018 года</w:t>
      </w:r>
    </w:p>
    <w:p w:rsidR="002426D6" w:rsidRDefault="002426D6" w:rsidP="002426D6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6038850" cy="2705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Default="002426D6" w:rsidP="002426D6">
      <w:pPr>
        <w:jc w:val="center"/>
        <w:rPr>
          <w:rFonts w:ascii="Tahoma" w:hAnsi="Tahoma" w:cs="Tahoma"/>
          <w:sz w:val="18"/>
          <w:szCs w:val="18"/>
        </w:rPr>
      </w:pPr>
    </w:p>
    <w:p w:rsidR="002426D6" w:rsidRPr="008871BF" w:rsidRDefault="002426D6" w:rsidP="002426D6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5972175" cy="2647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E43F47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E43F47">
        <w:rPr>
          <w:rFonts w:ascii="Tahoma" w:hAnsi="Tahoma" w:cs="Tahoma"/>
          <w:b/>
          <w:sz w:val="18"/>
          <w:szCs w:val="18"/>
        </w:rPr>
        <w:t>Мировое потребление рапса в 2018/19 сезоне достигнет нового рекорда</w:t>
      </w:r>
    </w:p>
    <w:p w:rsidR="002426D6" w:rsidRPr="00E43F47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 xml:space="preserve">В своем майском отчете эксперты Международного совета по зерну (IGC) прогнозируют сокращение мирового урожая рапса на 1,7% за год до 73,3 </w:t>
      </w:r>
      <w:proofErr w:type="gramStart"/>
      <w:r w:rsidRPr="00E43F47">
        <w:rPr>
          <w:rFonts w:ascii="Tahoma" w:hAnsi="Tahoma" w:cs="Tahoma"/>
          <w:sz w:val="18"/>
          <w:szCs w:val="18"/>
        </w:rPr>
        <w:t>млн</w:t>
      </w:r>
      <w:proofErr w:type="gramEnd"/>
      <w:r w:rsidRPr="00E43F47">
        <w:rPr>
          <w:rFonts w:ascii="Tahoma" w:hAnsi="Tahoma" w:cs="Tahoma"/>
          <w:sz w:val="18"/>
          <w:szCs w:val="18"/>
        </w:rPr>
        <w:t xml:space="preserve"> тонн (-2,1 млн тонн по сравнению с апрельским отчетом) за счет снижения его прои</w:t>
      </w:r>
      <w:r w:rsidRPr="00E43F47">
        <w:rPr>
          <w:rFonts w:ascii="Tahoma" w:hAnsi="Tahoma" w:cs="Tahoma"/>
          <w:sz w:val="18"/>
          <w:szCs w:val="18"/>
        </w:rPr>
        <w:t>з</w:t>
      </w:r>
      <w:r w:rsidRPr="00E43F47">
        <w:rPr>
          <w:rFonts w:ascii="Tahoma" w:hAnsi="Tahoma" w:cs="Tahoma"/>
          <w:sz w:val="18"/>
          <w:szCs w:val="18"/>
        </w:rPr>
        <w:t>водства в ЕС, Австралии и Канаде, информирует УкрАгроКонсалт.</w:t>
      </w:r>
    </w:p>
    <w:p w:rsidR="002426D6" w:rsidRPr="00E43F47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>Так, в майском отчете Европейское агентство по мониторингу урожаев Mars снизило прогноз урожайности рапса в стр</w:t>
      </w:r>
      <w:r w:rsidRPr="00E43F47">
        <w:rPr>
          <w:rFonts w:ascii="Tahoma" w:hAnsi="Tahoma" w:cs="Tahoma"/>
          <w:sz w:val="18"/>
          <w:szCs w:val="18"/>
        </w:rPr>
        <w:t>а</w:t>
      </w:r>
      <w:r w:rsidRPr="00E43F47">
        <w:rPr>
          <w:rFonts w:ascii="Tahoma" w:hAnsi="Tahoma" w:cs="Tahoma"/>
          <w:sz w:val="18"/>
          <w:szCs w:val="18"/>
        </w:rPr>
        <w:t xml:space="preserve">нах ЕС на фоне сухих и жарких погодных условий во время фазы цветения. Текущая оценка </w:t>
      </w:r>
      <w:r w:rsidRPr="00E43F47">
        <w:rPr>
          <w:rFonts w:ascii="Tahoma" w:hAnsi="Tahoma" w:cs="Tahoma"/>
          <w:sz w:val="18"/>
          <w:szCs w:val="18"/>
        </w:rPr>
        <w:lastRenderedPageBreak/>
        <w:t>составляет 3,19 т/га против 3,33 т/га, озвученных в предыдущем отчете. Таким образом, данный прогноз уже на 1,8% ниже прошлогоднего резул</w:t>
      </w:r>
      <w:r w:rsidRPr="00E43F47">
        <w:rPr>
          <w:rFonts w:ascii="Tahoma" w:hAnsi="Tahoma" w:cs="Tahoma"/>
          <w:sz w:val="18"/>
          <w:szCs w:val="18"/>
        </w:rPr>
        <w:t>ь</w:t>
      </w:r>
      <w:r w:rsidRPr="00E43F47">
        <w:rPr>
          <w:rFonts w:ascii="Tahoma" w:hAnsi="Tahoma" w:cs="Tahoma"/>
          <w:sz w:val="18"/>
          <w:szCs w:val="18"/>
        </w:rPr>
        <w:t>тата и на 2,9% ниже средних многолетних значений.</w:t>
      </w:r>
    </w:p>
    <w:p w:rsidR="002426D6" w:rsidRPr="00E43F47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>Согласно данным отчета, обширные регионы центральной и восточной Европы испытывают дефицит почвенной влаги, снижая потенциал рапса. При этом для озимых зерновых культур высокий температурный режим был благопри</w:t>
      </w:r>
      <w:r w:rsidRPr="00E43F47">
        <w:rPr>
          <w:rFonts w:ascii="Tahoma" w:hAnsi="Tahoma" w:cs="Tahoma"/>
          <w:sz w:val="18"/>
          <w:szCs w:val="18"/>
        </w:rPr>
        <w:t>я</w:t>
      </w:r>
      <w:r w:rsidRPr="00E43F47">
        <w:rPr>
          <w:rFonts w:ascii="Tahoma" w:hAnsi="Tahoma" w:cs="Tahoma"/>
          <w:sz w:val="18"/>
          <w:szCs w:val="18"/>
        </w:rPr>
        <w:t>тен и способствовал наращиванию вегетативной массы растений.</w:t>
      </w:r>
    </w:p>
    <w:p w:rsidR="002426D6" w:rsidRPr="00E43F47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 xml:space="preserve">Между тем, мировое потребление рапса превысит мировой урожай и составит 74,3 </w:t>
      </w:r>
      <w:proofErr w:type="gramStart"/>
      <w:r w:rsidRPr="00E43F47">
        <w:rPr>
          <w:rFonts w:ascii="Tahoma" w:hAnsi="Tahoma" w:cs="Tahoma"/>
          <w:sz w:val="18"/>
          <w:szCs w:val="18"/>
        </w:rPr>
        <w:t>млн</w:t>
      </w:r>
      <w:proofErr w:type="gramEnd"/>
      <w:r w:rsidRPr="00E43F47">
        <w:rPr>
          <w:rFonts w:ascii="Tahoma" w:hAnsi="Tahoma" w:cs="Tahoma"/>
          <w:sz w:val="18"/>
          <w:szCs w:val="18"/>
        </w:rPr>
        <w:t xml:space="preserve"> тонн (+1,6% за год), преимущ</w:t>
      </w:r>
      <w:r w:rsidRPr="00E43F47">
        <w:rPr>
          <w:rFonts w:ascii="Tahoma" w:hAnsi="Tahoma" w:cs="Tahoma"/>
          <w:sz w:val="18"/>
          <w:szCs w:val="18"/>
        </w:rPr>
        <w:t>е</w:t>
      </w:r>
      <w:r w:rsidRPr="00E43F47">
        <w:rPr>
          <w:rFonts w:ascii="Tahoma" w:hAnsi="Tahoma" w:cs="Tahoma"/>
          <w:sz w:val="18"/>
          <w:szCs w:val="18"/>
        </w:rPr>
        <w:t>ственно на фоне роста спроса со стороны Китая, учитывая снижающиеся перспективы собственного урожая.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E43F47">
        <w:rPr>
          <w:rFonts w:ascii="Tahoma" w:hAnsi="Tahoma" w:cs="Tahoma"/>
          <w:sz w:val="18"/>
          <w:szCs w:val="18"/>
        </w:rPr>
        <w:t xml:space="preserve">Таким образом, мировые запасы данной культуры продолжат снижаться в 2018/19 сезоне и составят 5,4 </w:t>
      </w:r>
      <w:proofErr w:type="gramStart"/>
      <w:r w:rsidRPr="00E43F47">
        <w:rPr>
          <w:rFonts w:ascii="Tahoma" w:hAnsi="Tahoma" w:cs="Tahoma"/>
          <w:sz w:val="18"/>
          <w:szCs w:val="18"/>
        </w:rPr>
        <w:t>млн</w:t>
      </w:r>
      <w:proofErr w:type="gramEnd"/>
      <w:r w:rsidRPr="00E43F47">
        <w:rPr>
          <w:rFonts w:ascii="Tahoma" w:hAnsi="Tahoma" w:cs="Tahoma"/>
          <w:sz w:val="18"/>
          <w:szCs w:val="18"/>
        </w:rPr>
        <w:t xml:space="preserve"> </w:t>
      </w:r>
      <w:r w:rsidRPr="008871BF">
        <w:rPr>
          <w:rFonts w:ascii="Tahoma" w:hAnsi="Tahoma" w:cs="Tahoma"/>
          <w:sz w:val="18"/>
          <w:szCs w:val="18"/>
        </w:rPr>
        <w:t>тонн (-16% за год).</w:t>
      </w:r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D04F28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D04F28">
        <w:rPr>
          <w:rFonts w:ascii="Tahoma" w:hAnsi="Tahoma" w:cs="Tahoma"/>
          <w:b/>
          <w:sz w:val="18"/>
          <w:szCs w:val="18"/>
        </w:rPr>
        <w:t>Ситуация на российском зерновом рынке</w:t>
      </w:r>
    </w:p>
    <w:p w:rsidR="002426D6" w:rsidRPr="00D04F28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На текущей неделе сохранилась тенденция ценового роста на зерно в ЦФО и азиатской части страны, где по</w:t>
      </w:r>
      <w:r w:rsidRPr="00D04F28">
        <w:rPr>
          <w:rFonts w:ascii="Tahoma" w:hAnsi="Tahoma" w:cs="Tahoma"/>
          <w:sz w:val="18"/>
          <w:szCs w:val="18"/>
        </w:rPr>
        <w:t>д</w:t>
      </w:r>
      <w:r w:rsidRPr="00D04F28">
        <w:rPr>
          <w:rFonts w:ascii="Tahoma" w:hAnsi="Tahoma" w:cs="Tahoma"/>
          <w:sz w:val="18"/>
          <w:szCs w:val="18"/>
        </w:rPr>
        <w:t>держку оказывало снижение уровня предложений по качественным зерновым культурам. Так, в ЦФО продовольстве</w:t>
      </w:r>
      <w:r w:rsidRPr="00D04F28">
        <w:rPr>
          <w:rFonts w:ascii="Tahoma" w:hAnsi="Tahoma" w:cs="Tahoma"/>
          <w:sz w:val="18"/>
          <w:szCs w:val="18"/>
        </w:rPr>
        <w:t>н</w:t>
      </w:r>
      <w:r w:rsidRPr="00D04F28">
        <w:rPr>
          <w:rFonts w:ascii="Tahoma" w:hAnsi="Tahoma" w:cs="Tahoma"/>
          <w:sz w:val="18"/>
          <w:szCs w:val="18"/>
        </w:rPr>
        <w:t>ная пшеница 3-го класса и рожь подорожали на 50 руб./т, пшеница 4-го и 5-го классов - на 100 руб./т. В то же время ф</w:t>
      </w:r>
      <w:r w:rsidRPr="00D04F28">
        <w:rPr>
          <w:rFonts w:ascii="Tahoma" w:hAnsi="Tahoma" w:cs="Tahoma"/>
          <w:sz w:val="18"/>
          <w:szCs w:val="18"/>
        </w:rPr>
        <w:t>у</w:t>
      </w:r>
      <w:r w:rsidRPr="00D04F28">
        <w:rPr>
          <w:rFonts w:ascii="Tahoma" w:hAnsi="Tahoma" w:cs="Tahoma"/>
          <w:sz w:val="18"/>
          <w:szCs w:val="18"/>
        </w:rPr>
        <w:t xml:space="preserve">ражный ячмень и кукуруза на зерно прибавили в стоимости </w:t>
      </w:r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 xml:space="preserve"> 50 и 75 руб./т соответственно.</w:t>
      </w:r>
    </w:p>
    <w:p w:rsidR="002426D6" w:rsidRPr="00D04F28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На юге страны при незначительном росте цены на пшеницу 3-го класса (+25 руб./т), отмечалось снижение стоимости на пшеницу 4-го класса (-50 руб./т), пшеницу 5-го класса (-150 руб./т) и фуражного ячменя (-125 руб./т).</w:t>
      </w:r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В Поволжье цены остались на уровне прошлой недели. Исключение составила лишь стоимость кукурузы на зерно, кот</w:t>
      </w:r>
      <w:r w:rsidRPr="00D04F28">
        <w:rPr>
          <w:rFonts w:ascii="Tahoma" w:hAnsi="Tahoma" w:cs="Tahoma"/>
          <w:sz w:val="18"/>
          <w:szCs w:val="18"/>
        </w:rPr>
        <w:t>о</w:t>
      </w:r>
      <w:r w:rsidRPr="00D04F28">
        <w:rPr>
          <w:rFonts w:ascii="Tahoma" w:hAnsi="Tahoma" w:cs="Tahoma"/>
          <w:sz w:val="18"/>
          <w:szCs w:val="18"/>
        </w:rPr>
        <w:t>рая прибавила 50 руб./</w:t>
      </w:r>
      <w:proofErr w:type="gramStart"/>
      <w:r w:rsidRPr="00D04F28">
        <w:rPr>
          <w:rFonts w:ascii="Tahoma" w:hAnsi="Tahoma" w:cs="Tahoma"/>
          <w:sz w:val="18"/>
          <w:szCs w:val="18"/>
        </w:rPr>
        <w:t>т</w:t>
      </w:r>
      <w:proofErr w:type="gramEnd"/>
      <w:r w:rsidRPr="00D04F28">
        <w:rPr>
          <w:rFonts w:ascii="Tahoma" w:hAnsi="Tahoma" w:cs="Tahoma"/>
          <w:sz w:val="18"/>
          <w:szCs w:val="18"/>
        </w:rPr>
        <w:t>.</w:t>
      </w:r>
    </w:p>
    <w:p w:rsidR="002426D6" w:rsidRPr="00D04F28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На Урале и в Сибири повышенный спрос на качественное зерно повлиял на подорожание как продовольстве</w:t>
      </w:r>
      <w:r w:rsidRPr="00D04F28">
        <w:rPr>
          <w:rFonts w:ascii="Tahoma" w:hAnsi="Tahoma" w:cs="Tahoma"/>
          <w:sz w:val="18"/>
          <w:szCs w:val="18"/>
        </w:rPr>
        <w:t>н</w:t>
      </w:r>
      <w:r w:rsidRPr="00D04F28">
        <w:rPr>
          <w:rFonts w:ascii="Tahoma" w:hAnsi="Tahoma" w:cs="Tahoma"/>
          <w:sz w:val="18"/>
          <w:szCs w:val="18"/>
        </w:rPr>
        <w:t>ной, так и фуражной группы, в результате чего пшеница прибавила в цене 100-175 руб./т, продовольс</w:t>
      </w:r>
      <w:r w:rsidRPr="00D04F28">
        <w:rPr>
          <w:rFonts w:ascii="Tahoma" w:hAnsi="Tahoma" w:cs="Tahoma"/>
          <w:sz w:val="18"/>
          <w:szCs w:val="18"/>
        </w:rPr>
        <w:t>т</w:t>
      </w:r>
      <w:r w:rsidRPr="00D04F28">
        <w:rPr>
          <w:rFonts w:ascii="Tahoma" w:hAnsi="Tahoma" w:cs="Tahoma"/>
          <w:sz w:val="18"/>
          <w:szCs w:val="18"/>
        </w:rPr>
        <w:t>венная рожь выросла в стоимости на 50-150 руб./т, а фуражный ячмень - на 150 руб./</w:t>
      </w:r>
      <w:proofErr w:type="gramStart"/>
      <w:r w:rsidRPr="00D04F28">
        <w:rPr>
          <w:rFonts w:ascii="Tahoma" w:hAnsi="Tahoma" w:cs="Tahoma"/>
          <w:sz w:val="18"/>
          <w:szCs w:val="18"/>
        </w:rPr>
        <w:t>т</w:t>
      </w:r>
      <w:proofErr w:type="gramEnd"/>
      <w:r w:rsidRPr="00D04F28">
        <w:rPr>
          <w:rFonts w:ascii="Tahoma" w:hAnsi="Tahoma" w:cs="Tahoma"/>
          <w:sz w:val="18"/>
          <w:szCs w:val="18"/>
        </w:rPr>
        <w:t>.</w:t>
      </w:r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>Согласно оперативной информации о ходе проведения весенне-полевых работ на 23 мая яровыми культ</w:t>
      </w:r>
      <w:r w:rsidRPr="00D04F28">
        <w:rPr>
          <w:rFonts w:ascii="Tahoma" w:hAnsi="Tahoma" w:cs="Tahoma"/>
          <w:sz w:val="18"/>
          <w:szCs w:val="18"/>
        </w:rPr>
        <w:t>у</w:t>
      </w:r>
      <w:r w:rsidRPr="00D04F28">
        <w:rPr>
          <w:rFonts w:ascii="Tahoma" w:hAnsi="Tahoma" w:cs="Tahoma"/>
          <w:sz w:val="18"/>
          <w:szCs w:val="18"/>
        </w:rPr>
        <w:t xml:space="preserve">рами засеяно 33,9 </w:t>
      </w:r>
      <w:proofErr w:type="gramStart"/>
      <w:r w:rsidRPr="00D04F28">
        <w:rPr>
          <w:rFonts w:ascii="Tahoma" w:hAnsi="Tahoma" w:cs="Tahoma"/>
          <w:sz w:val="18"/>
          <w:szCs w:val="18"/>
        </w:rPr>
        <w:t>млн</w:t>
      </w:r>
      <w:proofErr w:type="gramEnd"/>
      <w:r w:rsidRPr="00D04F28">
        <w:rPr>
          <w:rFonts w:ascii="Tahoma" w:hAnsi="Tahoma" w:cs="Tahoma"/>
          <w:sz w:val="18"/>
          <w:szCs w:val="18"/>
        </w:rPr>
        <w:t xml:space="preserve"> га (в 2017 г. - 37,1 млн га), что составляет 63,6% от общей площади ярового сева в 53,4 млн га. Подкормка озимых культур проведена на площади 14,3 </w:t>
      </w:r>
      <w:proofErr w:type="gramStart"/>
      <w:r w:rsidRPr="00D04F28">
        <w:rPr>
          <w:rFonts w:ascii="Tahoma" w:hAnsi="Tahoma" w:cs="Tahoma"/>
          <w:sz w:val="18"/>
          <w:szCs w:val="18"/>
        </w:rPr>
        <w:t>млн</w:t>
      </w:r>
      <w:proofErr w:type="gramEnd"/>
      <w:r w:rsidRPr="00D04F28">
        <w:rPr>
          <w:rFonts w:ascii="Tahoma" w:hAnsi="Tahoma" w:cs="Tahoma"/>
          <w:sz w:val="18"/>
          <w:szCs w:val="18"/>
        </w:rPr>
        <w:t xml:space="preserve"> га (в 2017 г. - 15,5 млн га) или 83,8% от планового показателя 17,1 млн га.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b/>
          <w:sz w:val="18"/>
          <w:szCs w:val="18"/>
        </w:rPr>
      </w:pPr>
      <w:r w:rsidRPr="008871BF">
        <w:rPr>
          <w:rFonts w:ascii="Tahoma" w:hAnsi="Tahoma" w:cs="Tahoma"/>
          <w:b/>
          <w:sz w:val="18"/>
          <w:szCs w:val="18"/>
        </w:rPr>
        <w:t xml:space="preserve">Минсельхоз России понизил прогноз по урожаю зерна в 2018 году до 105-110 </w:t>
      </w:r>
      <w:proofErr w:type="gramStart"/>
      <w:r w:rsidRPr="008871BF">
        <w:rPr>
          <w:rFonts w:ascii="Tahoma" w:hAnsi="Tahoma" w:cs="Tahoma"/>
          <w:b/>
          <w:sz w:val="18"/>
          <w:szCs w:val="18"/>
        </w:rPr>
        <w:t>млн</w:t>
      </w:r>
      <w:proofErr w:type="gramEnd"/>
      <w:r w:rsidRPr="008871BF">
        <w:rPr>
          <w:rFonts w:ascii="Tahoma" w:hAnsi="Tahoma" w:cs="Tahoma"/>
          <w:b/>
          <w:sz w:val="18"/>
          <w:szCs w:val="18"/>
        </w:rPr>
        <w:t xml:space="preserve"> тонн.</w:t>
      </w:r>
    </w:p>
    <w:p w:rsidR="002426D6" w:rsidRPr="00D04F2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  <w:r w:rsidRPr="00D04F28">
        <w:rPr>
          <w:rFonts w:ascii="Tahoma" w:hAnsi="Tahoma" w:cs="Tahoma"/>
          <w:sz w:val="18"/>
          <w:szCs w:val="18"/>
        </w:rPr>
        <w:t xml:space="preserve">«Если взять из всего, что сегодня имеется по озимым, по яровым культурам, по всем прогнозам, то можно ожидать на сегодняшний день 105-110 </w:t>
      </w:r>
      <w:proofErr w:type="gramStart"/>
      <w:r w:rsidRPr="00D04F28">
        <w:rPr>
          <w:rFonts w:ascii="Tahoma" w:hAnsi="Tahoma" w:cs="Tahoma"/>
          <w:sz w:val="18"/>
          <w:szCs w:val="18"/>
        </w:rPr>
        <w:t>млн</w:t>
      </w:r>
      <w:proofErr w:type="gramEnd"/>
      <w:r w:rsidRPr="00D04F28">
        <w:rPr>
          <w:rFonts w:ascii="Tahoma" w:hAnsi="Tahoma" w:cs="Tahoma"/>
          <w:sz w:val="18"/>
          <w:szCs w:val="18"/>
        </w:rPr>
        <w:t xml:space="preserve"> тонн зерна. Вот это предварительный прогноз», - сообщил директор Департамента ра</w:t>
      </w:r>
      <w:r w:rsidRPr="00D04F28">
        <w:rPr>
          <w:rFonts w:ascii="Tahoma" w:hAnsi="Tahoma" w:cs="Tahoma"/>
          <w:sz w:val="18"/>
          <w:szCs w:val="18"/>
        </w:rPr>
        <w:t>с</w:t>
      </w:r>
      <w:r w:rsidRPr="00D04F28">
        <w:rPr>
          <w:rFonts w:ascii="Tahoma" w:hAnsi="Tahoma" w:cs="Tahoma"/>
          <w:sz w:val="18"/>
          <w:szCs w:val="18"/>
        </w:rPr>
        <w:t>тениеводства, химизации и защиты растений Минсельхоза России Петр Чекмарев на совещании в Совете Федерации. Чекмарев отметил, что в последние годы погодные условия складыв</w:t>
      </w:r>
      <w:r w:rsidRPr="00D04F28">
        <w:rPr>
          <w:rFonts w:ascii="Tahoma" w:hAnsi="Tahoma" w:cs="Tahoma"/>
          <w:sz w:val="18"/>
          <w:szCs w:val="18"/>
        </w:rPr>
        <w:t>а</w:t>
      </w:r>
      <w:r w:rsidRPr="00D04F28">
        <w:rPr>
          <w:rFonts w:ascii="Tahoma" w:hAnsi="Tahoma" w:cs="Tahoma"/>
          <w:sz w:val="18"/>
          <w:szCs w:val="18"/>
        </w:rPr>
        <w:t>лись таким образом, что в России наблюдался рост по объему урожая. В этом году в ряде регионов складываются засушливые условия. «Дальше будем мониторить ситу</w:t>
      </w:r>
      <w:r w:rsidRPr="00D04F28">
        <w:rPr>
          <w:rFonts w:ascii="Tahoma" w:hAnsi="Tahoma" w:cs="Tahoma"/>
          <w:sz w:val="18"/>
          <w:szCs w:val="18"/>
        </w:rPr>
        <w:t>а</w:t>
      </w:r>
      <w:r w:rsidRPr="00D04F28">
        <w:rPr>
          <w:rFonts w:ascii="Tahoma" w:hAnsi="Tahoma" w:cs="Tahoma"/>
          <w:sz w:val="18"/>
          <w:szCs w:val="18"/>
        </w:rPr>
        <w:t>цию, смотреть, как завершится сев, как сложатся погодные условия», - сказал глава департамента. (Крестьянские вед</w:t>
      </w:r>
      <w:r w:rsidRPr="00D04F28">
        <w:rPr>
          <w:rFonts w:ascii="Tahoma" w:hAnsi="Tahoma" w:cs="Tahoma"/>
          <w:sz w:val="18"/>
          <w:szCs w:val="18"/>
        </w:rPr>
        <w:t>о</w:t>
      </w:r>
      <w:r w:rsidRPr="00D04F28">
        <w:rPr>
          <w:rFonts w:ascii="Tahoma" w:hAnsi="Tahoma" w:cs="Tahoma"/>
          <w:sz w:val="18"/>
          <w:szCs w:val="18"/>
        </w:rPr>
        <w:t>мости)</w:t>
      </w:r>
      <w:r>
        <w:rPr>
          <w:rFonts w:ascii="Tahoma" w:hAnsi="Tahoma" w:cs="Tahoma"/>
          <w:sz w:val="18"/>
          <w:szCs w:val="18"/>
        </w:rPr>
        <w:t xml:space="preserve">. </w:t>
      </w:r>
      <w:r w:rsidRPr="00D04F28">
        <w:rPr>
          <w:rFonts w:ascii="Tahoma" w:hAnsi="Tahoma" w:cs="Tahoma"/>
          <w:sz w:val="18"/>
          <w:szCs w:val="18"/>
        </w:rPr>
        <w:t>По оперативной информации ФТС, экспорт зерна в сельскохозяйственном 2017/2018 году по состоянию на 23 мая сост</w:t>
      </w:r>
      <w:r w:rsidRPr="00D04F28">
        <w:rPr>
          <w:rFonts w:ascii="Tahoma" w:hAnsi="Tahoma" w:cs="Tahoma"/>
          <w:sz w:val="18"/>
          <w:szCs w:val="18"/>
        </w:rPr>
        <w:t>а</w:t>
      </w:r>
      <w:r w:rsidRPr="00D04F28">
        <w:rPr>
          <w:rFonts w:ascii="Tahoma" w:hAnsi="Tahoma" w:cs="Tahoma"/>
          <w:sz w:val="18"/>
          <w:szCs w:val="18"/>
        </w:rPr>
        <w:t xml:space="preserve">вил 47,9 </w:t>
      </w:r>
      <w:proofErr w:type="gramStart"/>
      <w:r w:rsidRPr="00D04F28">
        <w:rPr>
          <w:rFonts w:ascii="Tahoma" w:hAnsi="Tahoma" w:cs="Tahoma"/>
          <w:sz w:val="18"/>
          <w:szCs w:val="18"/>
        </w:rPr>
        <w:t>млн</w:t>
      </w:r>
      <w:proofErr w:type="gramEnd"/>
      <w:r w:rsidRPr="00D04F28">
        <w:rPr>
          <w:rFonts w:ascii="Tahoma" w:hAnsi="Tahoma" w:cs="Tahoma"/>
          <w:sz w:val="18"/>
          <w:szCs w:val="18"/>
        </w:rPr>
        <w:t xml:space="preserve"> тонн, в том числе пшеницы вывезено 37,1 млн тонн.</w:t>
      </w:r>
    </w:p>
    <w:p w:rsidR="002426D6" w:rsidRPr="00A10739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A10739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A10739">
        <w:rPr>
          <w:rFonts w:ascii="Tahoma" w:hAnsi="Tahoma" w:cs="Tahoma"/>
          <w:b/>
          <w:sz w:val="18"/>
          <w:szCs w:val="18"/>
        </w:rPr>
        <w:t>Цены на основные зерновые культуры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2"/>
        <w:gridCol w:w="1350"/>
        <w:gridCol w:w="1334"/>
        <w:gridCol w:w="1350"/>
        <w:gridCol w:w="1024"/>
        <w:gridCol w:w="1138"/>
        <w:gridCol w:w="1348"/>
      </w:tblGrid>
      <w:tr w:rsidR="002426D6" w:rsidRPr="00A10739" w:rsidTr="009172E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 xml:space="preserve">Цена 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(руб./т, с НДС)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 xml:space="preserve">Пшеница 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3 кла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пшеница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 xml:space="preserve"> 4 кла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 xml:space="preserve">Пшеница 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 кла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рожь пр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о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дов.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ячмень ф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у</w:t>
            </w: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раж.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кукуруза на зерно</w:t>
            </w:r>
          </w:p>
        </w:tc>
      </w:tr>
      <w:tr w:rsidR="002426D6" w:rsidRPr="00A10739" w:rsidTr="009172E8">
        <w:trPr>
          <w:trHeight w:val="18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DE8"/>
            <w:vAlign w:val="center"/>
            <w:hideMark/>
          </w:tcPr>
          <w:p w:rsidR="002426D6" w:rsidRPr="00A10739" w:rsidRDefault="002426D6" w:rsidP="009172E8">
            <w:pPr>
              <w:suppressAutoHyphens w:val="0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2426D6" w:rsidRPr="00A10739" w:rsidTr="009172E8">
        <w:trPr>
          <w:trHeight w:val="1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ЦФО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8900-10700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7700-9800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7600-9100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6600-7100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7600-9500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6850-8000</w:t>
            </w:r>
          </w:p>
        </w:tc>
      </w:tr>
      <w:tr w:rsidR="002426D6" w:rsidRPr="00A10739" w:rsidTr="009172E8">
        <w:trPr>
          <w:trHeight w:val="6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ЮФО+СКФО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9000-12750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8500-12500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7050-11850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9200-11550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7350-11550</w:t>
            </w:r>
          </w:p>
        </w:tc>
      </w:tr>
      <w:tr w:rsidR="002426D6" w:rsidRPr="00A10739" w:rsidTr="009172E8">
        <w:trPr>
          <w:trHeight w:val="9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ПФО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8000-10000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7000-9000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6000-7500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5400-6700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6400-7500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6500-7800</w:t>
            </w:r>
          </w:p>
        </w:tc>
      </w:tr>
      <w:tr w:rsidR="002426D6" w:rsidRPr="00A10739" w:rsidTr="009172E8">
        <w:trPr>
          <w:trHeight w:val="11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УрФО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6500-8200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5400-6500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5200-6800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5000-7200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4800-6900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-</w:t>
            </w:r>
          </w:p>
        </w:tc>
      </w:tr>
      <w:tr w:rsidR="002426D6" w:rsidRPr="00A10739" w:rsidTr="009172E8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СФО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6700-8100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5800-7400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5500-6900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5300-6500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5500-6600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26D6" w:rsidRPr="00A10739" w:rsidRDefault="002426D6" w:rsidP="009172E8">
            <w:pPr>
              <w:suppressAutoHyphens w:val="0"/>
              <w:spacing w:after="100" w:afterAutospacing="1"/>
              <w:jc w:val="center"/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</w:pPr>
            <w:r w:rsidRPr="00A10739">
              <w:rPr>
                <w:rFonts w:ascii="Tahoma" w:hAnsi="Tahoma" w:cs="Tahoma"/>
                <w:color w:val="333333"/>
                <w:sz w:val="15"/>
                <w:szCs w:val="15"/>
                <w:lang w:eastAsia="ru-RU"/>
              </w:rPr>
              <w:t>-</w:t>
            </w:r>
          </w:p>
        </w:tc>
      </w:tr>
    </w:tbl>
    <w:p w:rsidR="002426D6" w:rsidRPr="001A36A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</w:p>
    <w:p w:rsidR="002426D6" w:rsidRPr="001A36A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1A36A8">
        <w:rPr>
          <w:rFonts w:ascii="Tahoma" w:hAnsi="Tahoma" w:cs="Tahoma"/>
          <w:b/>
          <w:sz w:val="18"/>
          <w:szCs w:val="18"/>
        </w:rPr>
        <w:t>«ПроЗерно» - Еженедельные ценовые индексы внутреннего рынка на 25 мая 2018 года</w:t>
      </w:r>
    </w:p>
    <w:p w:rsidR="002426D6" w:rsidRDefault="002426D6" w:rsidP="002426D6">
      <w:pPr>
        <w:shd w:val="clear" w:color="auto" w:fill="FFFFFF"/>
        <w:suppressAutoHyphens w:val="0"/>
        <w:jc w:val="both"/>
      </w:pPr>
    </w:p>
    <w:p w:rsidR="002426D6" w:rsidRDefault="002426D6" w:rsidP="002426D6">
      <w:pPr>
        <w:shd w:val="clear" w:color="auto" w:fill="FFFFFF"/>
        <w:suppressAutoHyphens w:val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38875" cy="1866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Default="002426D6" w:rsidP="002426D6">
      <w:pPr>
        <w:shd w:val="clear" w:color="auto" w:fill="FFFFFF"/>
        <w:suppressAutoHyphens w:val="0"/>
        <w:jc w:val="both"/>
      </w:pPr>
    </w:p>
    <w:p w:rsidR="002426D6" w:rsidRDefault="002426D6" w:rsidP="002426D6">
      <w:pPr>
        <w:shd w:val="clear" w:color="auto" w:fill="FFFFFF"/>
        <w:suppressAutoHyphens w:val="0"/>
        <w:jc w:val="center"/>
      </w:pPr>
      <w:r>
        <w:rPr>
          <w:noProof/>
          <w:lang w:eastAsia="ru-RU"/>
        </w:rPr>
        <w:drawing>
          <wp:inline distT="0" distB="0" distL="0" distR="0">
            <wp:extent cx="6248400" cy="15811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Default="002426D6" w:rsidP="002426D6">
      <w:pPr>
        <w:shd w:val="clear" w:color="auto" w:fill="FFFFFF"/>
        <w:suppressAutoHyphens w:val="0"/>
        <w:jc w:val="both"/>
      </w:pPr>
    </w:p>
    <w:p w:rsidR="002426D6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1A36A8">
        <w:rPr>
          <w:rFonts w:ascii="Tahoma" w:hAnsi="Tahoma" w:cs="Tahoma"/>
          <w:b/>
          <w:sz w:val="18"/>
          <w:szCs w:val="18"/>
        </w:rPr>
        <w:t>«ПроЗерно» - Среднемесячные ценовые индексы внутреннего рынка на май 2018 года</w:t>
      </w:r>
    </w:p>
    <w:p w:rsidR="002426D6" w:rsidRDefault="002426D6" w:rsidP="002426D6">
      <w:pPr>
        <w:shd w:val="clear" w:color="auto" w:fill="FFFFFF"/>
        <w:suppressAutoHyphens w:val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6286500" cy="18764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Pr="001A36A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1A36A8" w:rsidRDefault="002426D6" w:rsidP="002426D6">
      <w:pPr>
        <w:shd w:val="clear" w:color="auto" w:fill="FFFFFF"/>
        <w:suppressAutoHyphens w:val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6276975" cy="15906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D6" w:rsidRPr="001A36A8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</w:p>
    <w:p w:rsidR="002426D6" w:rsidRPr="008871BF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8871BF">
        <w:rPr>
          <w:rFonts w:ascii="Tahoma" w:hAnsi="Tahoma" w:cs="Tahoma"/>
          <w:b/>
          <w:sz w:val="18"/>
          <w:szCs w:val="18"/>
        </w:rPr>
        <w:t>В 2018 году морпорты Ростовской области увеличат перевалку зерна до 23 млн. тонн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В 2018 г. общий объем перевалки зерновых в морских портах Ростовской области (Ростов-на-Дону, Таганрог и Азов) возрастет на 15% в сравнении с показателем прошлого года (19,88 млн. тонн) и достигнет 23 млн. тонн. Об этом 30 мая заявил журналистам в Ростове-на-Дону руководитель ФГБУ «Администрация морских портов Азовского моря» Сергей Сафоничев, сообщило агентство ТАСС.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«Мы уже за 5 месяцев перевалили порядка 7 млн. тонн. По планам, предоставленным операторами грузовых термин</w:t>
      </w:r>
      <w:r w:rsidRPr="008871BF">
        <w:rPr>
          <w:rFonts w:ascii="Tahoma" w:hAnsi="Tahoma" w:cs="Tahoma"/>
          <w:sz w:val="18"/>
          <w:szCs w:val="18"/>
        </w:rPr>
        <w:t>а</w:t>
      </w:r>
      <w:r w:rsidRPr="008871BF">
        <w:rPr>
          <w:rFonts w:ascii="Tahoma" w:hAnsi="Tahoma" w:cs="Tahoma"/>
          <w:sz w:val="18"/>
          <w:szCs w:val="18"/>
        </w:rPr>
        <w:t>лов, с июня по декабрь 2018 г. планируется в морском порту Азов обработать зерновых 7,3 млн. тонн, Ростов - 7,8 млн. тонн, Таганрог - 1,1 млн. тонн. То есть суммарно по трем портам необходимо обработать 16,2 млн. тонн - мы к этому готовы», - сказал С.Сафоничев.</w:t>
      </w:r>
    </w:p>
    <w:p w:rsidR="002426D6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8871BF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8871BF">
        <w:rPr>
          <w:rFonts w:ascii="Tahoma" w:hAnsi="Tahoma" w:cs="Tahoma"/>
          <w:b/>
          <w:sz w:val="18"/>
          <w:szCs w:val="18"/>
        </w:rPr>
        <w:lastRenderedPageBreak/>
        <w:t>Терминал в Усть-Луге позволит скорректировать экспортные отгрузки российского зерна - эксперт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Строительство многофунционального терминала для перевалки сельхозгрузов в порту Усть-Луга позволит во многом решить проблему наращивания экспорта российского зерна, а также корректировать направл</w:t>
      </w:r>
      <w:r w:rsidRPr="008871BF">
        <w:rPr>
          <w:rFonts w:ascii="Tahoma" w:hAnsi="Tahoma" w:cs="Tahoma"/>
          <w:sz w:val="18"/>
          <w:szCs w:val="18"/>
        </w:rPr>
        <w:t>е</w:t>
      </w:r>
      <w:r w:rsidRPr="008871BF">
        <w:rPr>
          <w:rFonts w:ascii="Tahoma" w:hAnsi="Tahoma" w:cs="Tahoma"/>
          <w:sz w:val="18"/>
          <w:szCs w:val="18"/>
        </w:rPr>
        <w:t>ния его отгрузки. Такое мнение высказал генеральный директор фрахтовой компании «Глогос Проект» Ко</w:t>
      </w:r>
      <w:r w:rsidRPr="008871BF">
        <w:rPr>
          <w:rFonts w:ascii="Tahoma" w:hAnsi="Tahoma" w:cs="Tahoma"/>
          <w:sz w:val="18"/>
          <w:szCs w:val="18"/>
        </w:rPr>
        <w:t>н</w:t>
      </w:r>
      <w:r w:rsidRPr="008871BF">
        <w:rPr>
          <w:rFonts w:ascii="Tahoma" w:hAnsi="Tahoma" w:cs="Tahoma"/>
          <w:sz w:val="18"/>
          <w:szCs w:val="18"/>
        </w:rPr>
        <w:t>стантин Гриневич, сообщила 29 мая пресс-служба компании.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Как отметил эксперт, в настоящее время на Северо-Западе Росс нет ни одного специализированного зернового терминала, где могла бы осуществляться перевалка зерна даже в малых объемах. Если проект будет реализован в по</w:t>
      </w:r>
      <w:r w:rsidRPr="008871BF">
        <w:rPr>
          <w:rFonts w:ascii="Tahoma" w:hAnsi="Tahoma" w:cs="Tahoma"/>
          <w:sz w:val="18"/>
          <w:szCs w:val="18"/>
        </w:rPr>
        <w:t>л</w:t>
      </w:r>
      <w:r w:rsidRPr="008871BF">
        <w:rPr>
          <w:rFonts w:ascii="Tahoma" w:hAnsi="Tahoma" w:cs="Tahoma"/>
          <w:sz w:val="18"/>
          <w:szCs w:val="18"/>
        </w:rPr>
        <w:t>ной мере, терминал не просто сможет конкурировать с портами стран Балтии, а станет крупнейшим в данном регионе. Пр</w:t>
      </w:r>
      <w:r w:rsidRPr="008871BF">
        <w:rPr>
          <w:rFonts w:ascii="Tahoma" w:hAnsi="Tahoma" w:cs="Tahoma"/>
          <w:sz w:val="18"/>
          <w:szCs w:val="18"/>
        </w:rPr>
        <w:t>и</w:t>
      </w:r>
      <w:r w:rsidRPr="008871BF">
        <w:rPr>
          <w:rFonts w:ascii="Tahoma" w:hAnsi="Tahoma" w:cs="Tahoma"/>
          <w:sz w:val="18"/>
          <w:szCs w:val="18"/>
        </w:rPr>
        <w:t>нимающая способность будущих портовых объектов составит более 1000 вагонов в сутки или около 25 млн. тонн груза в год, объем хранения груза – около 300 тыс. тонн.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Также К.Гриневич напомнил, что главным регионом отгрузок российского зерна в настоящее время является Азово-Черноморский регион, куда груз прибывает с речных элеваторов Волги или Дона. Но из-за небольшой глубины данных акваторий вывести оттуда груз можно лишь небольшими партиями (до 5000 тонн) с помощью судов класса «р</w:t>
      </w:r>
      <w:r w:rsidRPr="008871BF">
        <w:rPr>
          <w:rFonts w:ascii="Tahoma" w:hAnsi="Tahoma" w:cs="Tahoma"/>
          <w:sz w:val="18"/>
          <w:szCs w:val="18"/>
        </w:rPr>
        <w:t>е</w:t>
      </w:r>
      <w:r w:rsidRPr="008871BF">
        <w:rPr>
          <w:rFonts w:ascii="Tahoma" w:hAnsi="Tahoma" w:cs="Tahoma"/>
          <w:sz w:val="18"/>
          <w:szCs w:val="18"/>
        </w:rPr>
        <w:t>ка-море», что не позволяет экспортировать зерно желаемыми темпами.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Ввод в эксплуатацию зернового терминала в Усть-Луге открывает новый рынок сбыта для российских экспорт</w:t>
      </w:r>
      <w:r w:rsidRPr="008871BF">
        <w:rPr>
          <w:rFonts w:ascii="Tahoma" w:hAnsi="Tahoma" w:cs="Tahoma"/>
          <w:sz w:val="18"/>
          <w:szCs w:val="18"/>
        </w:rPr>
        <w:t>е</w:t>
      </w:r>
      <w:r w:rsidRPr="008871BF">
        <w:rPr>
          <w:rFonts w:ascii="Tahoma" w:hAnsi="Tahoma" w:cs="Tahoma"/>
          <w:sz w:val="18"/>
          <w:szCs w:val="18"/>
        </w:rPr>
        <w:t>ров. Флот класса Handysize и Panamax транспортирует груз более существенными партиями (до 70 тыс. тонн) и по более выгодным ставкам. Поэтому схема доставки зерна из Центрального региона РФ – по железной дороге до порта Усть-Луга, и далее отправки большими партиями в Европу и страны Африки водным транспортом – окажется для трейдеров более привлекательной. Также новый терминал способен решить проблему невывоза остатков зерна из южных реги</w:t>
      </w:r>
      <w:r w:rsidRPr="008871BF">
        <w:rPr>
          <w:rFonts w:ascii="Tahoma" w:hAnsi="Tahoma" w:cs="Tahoma"/>
          <w:sz w:val="18"/>
          <w:szCs w:val="18"/>
        </w:rPr>
        <w:t>о</w:t>
      </w:r>
      <w:r w:rsidRPr="008871BF">
        <w:rPr>
          <w:rFonts w:ascii="Tahoma" w:hAnsi="Tahoma" w:cs="Tahoma"/>
          <w:sz w:val="18"/>
          <w:szCs w:val="18"/>
        </w:rPr>
        <w:t>нов страны, с которой экспортеры сталкиваются каждый год. И наконец, терминал задуман как универсальный, а зн</w:t>
      </w:r>
      <w:r w:rsidRPr="008871BF">
        <w:rPr>
          <w:rFonts w:ascii="Tahoma" w:hAnsi="Tahoma" w:cs="Tahoma"/>
          <w:sz w:val="18"/>
          <w:szCs w:val="18"/>
        </w:rPr>
        <w:t>а</w:t>
      </w:r>
      <w:r w:rsidRPr="008871BF">
        <w:rPr>
          <w:rFonts w:ascii="Tahoma" w:hAnsi="Tahoma" w:cs="Tahoma"/>
          <w:sz w:val="18"/>
          <w:szCs w:val="18"/>
        </w:rPr>
        <w:t>чит, будет эффективен как в высокий зерновой сезон, так и в межсезонный период, когда на первый план выходит другая номенкл</w:t>
      </w:r>
      <w:r w:rsidRPr="008871BF">
        <w:rPr>
          <w:rFonts w:ascii="Tahoma" w:hAnsi="Tahoma" w:cs="Tahoma"/>
          <w:sz w:val="18"/>
          <w:szCs w:val="18"/>
        </w:rPr>
        <w:t>а</w:t>
      </w:r>
      <w:r w:rsidRPr="008871BF">
        <w:rPr>
          <w:rFonts w:ascii="Tahoma" w:hAnsi="Tahoma" w:cs="Tahoma"/>
          <w:sz w:val="18"/>
          <w:szCs w:val="18"/>
        </w:rPr>
        <w:t xml:space="preserve">тура грузов», - резюмировал эксперт.  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Напомним, что строительство терминала в Усть-Луге запланировано в рамках реализации проекта «LUGAPORT», кот</w:t>
      </w:r>
      <w:r w:rsidRPr="008871BF">
        <w:rPr>
          <w:rFonts w:ascii="Tahoma" w:hAnsi="Tahoma" w:cs="Tahoma"/>
          <w:sz w:val="18"/>
          <w:szCs w:val="18"/>
        </w:rPr>
        <w:t>о</w:t>
      </w:r>
      <w:r w:rsidRPr="008871BF">
        <w:rPr>
          <w:rFonts w:ascii="Tahoma" w:hAnsi="Tahoma" w:cs="Tahoma"/>
          <w:sz w:val="18"/>
          <w:szCs w:val="18"/>
        </w:rPr>
        <w:t>рая должна начаться в 2020 г. и продолжится до 2024 г.</w:t>
      </w:r>
    </w:p>
    <w:p w:rsidR="002426D6" w:rsidRPr="008871BF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2426D6" w:rsidRPr="008871BF" w:rsidRDefault="002426D6" w:rsidP="002426D6">
      <w:pPr>
        <w:shd w:val="clear" w:color="auto" w:fill="FFFFFF"/>
        <w:suppressAutoHyphens w:val="0"/>
        <w:jc w:val="both"/>
        <w:rPr>
          <w:rFonts w:ascii="Tahoma" w:hAnsi="Tahoma" w:cs="Tahoma"/>
          <w:b/>
          <w:sz w:val="18"/>
          <w:szCs w:val="18"/>
        </w:rPr>
      </w:pPr>
      <w:r w:rsidRPr="008871BF">
        <w:rPr>
          <w:rFonts w:ascii="Tahoma" w:hAnsi="Tahoma" w:cs="Tahoma"/>
          <w:b/>
          <w:sz w:val="18"/>
          <w:szCs w:val="18"/>
        </w:rPr>
        <w:t>Россия. Переработка рапса станет максимальной за последние три сезона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В марте текущего года в России произведено 27,4 тыс. тонн рапсового масла против 32,4 тыс. тонн в пр</w:t>
      </w:r>
      <w:r w:rsidRPr="008871BF">
        <w:rPr>
          <w:rFonts w:ascii="Tahoma" w:hAnsi="Tahoma" w:cs="Tahoma"/>
          <w:sz w:val="18"/>
          <w:szCs w:val="18"/>
        </w:rPr>
        <w:t>о</w:t>
      </w:r>
      <w:r w:rsidRPr="008871BF">
        <w:rPr>
          <w:rFonts w:ascii="Tahoma" w:hAnsi="Tahoma" w:cs="Tahoma"/>
          <w:sz w:val="18"/>
          <w:szCs w:val="18"/>
        </w:rPr>
        <w:t>шлом месяце и 26,7 тыс. тонн в марте прошлого года.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Напомним, с начала текущего 2017/18 сезона ежемесячные объемы выпуска рапсового масла стабильно пр</w:t>
      </w:r>
      <w:r w:rsidRPr="008871BF">
        <w:rPr>
          <w:rFonts w:ascii="Tahoma" w:hAnsi="Tahoma" w:cs="Tahoma"/>
          <w:sz w:val="18"/>
          <w:szCs w:val="18"/>
        </w:rPr>
        <w:t>е</w:t>
      </w:r>
      <w:r w:rsidRPr="008871BF">
        <w:rPr>
          <w:rFonts w:ascii="Tahoma" w:hAnsi="Tahoma" w:cs="Tahoma"/>
          <w:sz w:val="18"/>
          <w:szCs w:val="18"/>
        </w:rPr>
        <w:t>восходят аналогичные показатели предыдущего сезона, за исключением января. Этому способствовало увеличение урожая ра</w:t>
      </w:r>
      <w:r w:rsidRPr="008871BF">
        <w:rPr>
          <w:rFonts w:ascii="Tahoma" w:hAnsi="Tahoma" w:cs="Tahoma"/>
          <w:sz w:val="18"/>
          <w:szCs w:val="18"/>
        </w:rPr>
        <w:t>п</w:t>
      </w:r>
      <w:r w:rsidRPr="008871BF">
        <w:rPr>
          <w:rFonts w:ascii="Tahoma" w:hAnsi="Tahoma" w:cs="Tahoma"/>
          <w:sz w:val="18"/>
          <w:szCs w:val="18"/>
        </w:rPr>
        <w:t>са в 2017 году, сообщают аналитики УкрАгроКонсалт.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В целом с начала 2017/18 сезона (июль-март) производство рапсового масла выросло на 20,8% до 286,4 тыс. тонн пр</w:t>
      </w:r>
      <w:r w:rsidRPr="008871BF">
        <w:rPr>
          <w:rFonts w:ascii="Tahoma" w:hAnsi="Tahoma" w:cs="Tahoma"/>
          <w:sz w:val="18"/>
          <w:szCs w:val="18"/>
        </w:rPr>
        <w:t>о</w:t>
      </w:r>
      <w:r w:rsidRPr="008871BF">
        <w:rPr>
          <w:rFonts w:ascii="Tahoma" w:hAnsi="Tahoma" w:cs="Tahoma"/>
          <w:sz w:val="18"/>
          <w:szCs w:val="18"/>
        </w:rPr>
        <w:t>тив 237,1 тыс. тонн годом ранее.</w:t>
      </w:r>
    </w:p>
    <w:p w:rsidR="002426D6" w:rsidRPr="008871BF" w:rsidRDefault="002426D6" w:rsidP="002426D6">
      <w:pPr>
        <w:shd w:val="clear" w:color="auto" w:fill="FFFFFF"/>
        <w:suppressAutoHyphens w:val="0"/>
        <w:ind w:firstLine="72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Оценивая тенденции текущего маркетингового года, УкрАгроКонсалт прогнозирует рост производства рапсового масла в России по итогам 2017/18 сезона до максимального уровня за последние три отчетных п</w:t>
      </w:r>
      <w:r w:rsidRPr="008871BF">
        <w:rPr>
          <w:rFonts w:ascii="Tahoma" w:hAnsi="Tahoma" w:cs="Tahoma"/>
          <w:sz w:val="18"/>
          <w:szCs w:val="18"/>
        </w:rPr>
        <w:t>е</w:t>
      </w:r>
      <w:r w:rsidRPr="008871BF">
        <w:rPr>
          <w:rFonts w:ascii="Tahoma" w:hAnsi="Tahoma" w:cs="Tahoma"/>
          <w:sz w:val="18"/>
          <w:szCs w:val="18"/>
        </w:rPr>
        <w:t>риода.</w:t>
      </w:r>
    </w:p>
    <w:p w:rsidR="002426D6" w:rsidRPr="008871BF" w:rsidRDefault="002426D6" w:rsidP="002426D6">
      <w:pPr>
        <w:shd w:val="clear" w:color="auto" w:fill="FFFFFF"/>
        <w:suppressAutoHyphens w:val="0"/>
        <w:ind w:firstLine="360"/>
        <w:jc w:val="both"/>
        <w:rPr>
          <w:rFonts w:ascii="Tahoma" w:hAnsi="Tahoma" w:cs="Tahoma"/>
          <w:sz w:val="18"/>
          <w:szCs w:val="18"/>
        </w:rPr>
      </w:pPr>
      <w:r w:rsidRPr="008871BF">
        <w:rPr>
          <w:rFonts w:ascii="Tahoma" w:hAnsi="Tahoma" w:cs="Tahoma"/>
          <w:sz w:val="18"/>
          <w:szCs w:val="18"/>
        </w:rPr>
        <w:t>Отметим, что Россия продолжает развивать мощности по переработке масличных культур. Так, в Башкирии, в А</w:t>
      </w:r>
      <w:r w:rsidRPr="008871BF">
        <w:rPr>
          <w:rFonts w:ascii="Tahoma" w:hAnsi="Tahoma" w:cs="Tahoma"/>
          <w:sz w:val="18"/>
          <w:szCs w:val="18"/>
        </w:rPr>
        <w:t>с</w:t>
      </w:r>
      <w:r w:rsidRPr="008871BF">
        <w:rPr>
          <w:rFonts w:ascii="Tahoma" w:hAnsi="Tahoma" w:cs="Tahoma"/>
          <w:sz w:val="18"/>
          <w:szCs w:val="18"/>
        </w:rPr>
        <w:t>кинском районе планируется строительство завода по переработке рапса мощностью более 30 тыс. тонн семян в год и производству растительного масла в объеме более 10 тыс. тонн в год. Инициатором стро</w:t>
      </w:r>
      <w:r w:rsidRPr="008871BF">
        <w:rPr>
          <w:rFonts w:ascii="Tahoma" w:hAnsi="Tahoma" w:cs="Tahoma"/>
          <w:sz w:val="18"/>
          <w:szCs w:val="18"/>
        </w:rPr>
        <w:t>и</w:t>
      </w:r>
      <w:r w:rsidRPr="008871BF">
        <w:rPr>
          <w:rFonts w:ascii="Tahoma" w:hAnsi="Tahoma" w:cs="Tahoma"/>
          <w:sz w:val="18"/>
          <w:szCs w:val="18"/>
        </w:rPr>
        <w:t xml:space="preserve">тельства объекта является компания «Олеокемикс». Инвестиции в реализацию проекта составят 1,6 </w:t>
      </w:r>
      <w:proofErr w:type="gramStart"/>
      <w:r w:rsidRPr="008871BF">
        <w:rPr>
          <w:rFonts w:ascii="Tahoma" w:hAnsi="Tahoma" w:cs="Tahoma"/>
          <w:sz w:val="18"/>
          <w:szCs w:val="18"/>
        </w:rPr>
        <w:t>млрд</w:t>
      </w:r>
      <w:proofErr w:type="gramEnd"/>
      <w:r w:rsidRPr="008871BF">
        <w:rPr>
          <w:rFonts w:ascii="Tahoma" w:hAnsi="Tahoma" w:cs="Tahoma"/>
          <w:sz w:val="18"/>
          <w:szCs w:val="18"/>
        </w:rPr>
        <w:t xml:space="preserve"> рублей. Срок реализации проекта – 2020 год.</w:t>
      </w:r>
    </w:p>
    <w:p w:rsidR="009432CC" w:rsidRDefault="009432CC"/>
    <w:sectPr w:rsidR="009432CC" w:rsidSect="0094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F4DC1"/>
    <w:multiLevelType w:val="hybridMultilevel"/>
    <w:tmpl w:val="8780BC08"/>
    <w:lvl w:ilvl="0" w:tplc="E00A75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26D6"/>
    <w:rsid w:val="002426D6"/>
    <w:rsid w:val="0094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2426D6"/>
    <w:pPr>
      <w:keepNext/>
      <w:pageBreakBefore/>
      <w:widowControl w:val="0"/>
      <w:numPr>
        <w:numId w:val="1"/>
      </w:numPr>
      <w:spacing w:before="200" w:after="120"/>
      <w:jc w:val="center"/>
      <w:outlineLvl w:val="0"/>
    </w:pPr>
    <w:rPr>
      <w:rFonts w:ascii="Tahoma" w:hAnsi="Tahoma" w:cs="Tahoma"/>
      <w:b/>
      <w:color w:val="000080"/>
      <w:kern w:val="1"/>
      <w:sz w:val="28"/>
    </w:rPr>
  </w:style>
  <w:style w:type="paragraph" w:styleId="2">
    <w:name w:val="heading 2"/>
    <w:basedOn w:val="a"/>
    <w:next w:val="a"/>
    <w:link w:val="20"/>
    <w:uiPriority w:val="9"/>
    <w:qFormat/>
    <w:rsid w:val="002426D6"/>
    <w:pPr>
      <w:keepNext/>
      <w:numPr>
        <w:ilvl w:val="1"/>
        <w:numId w:val="1"/>
      </w:numPr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2426D6"/>
    <w:pPr>
      <w:keepNext/>
      <w:numPr>
        <w:ilvl w:val="2"/>
        <w:numId w:val="1"/>
      </w:numPr>
      <w:outlineLvl w:val="2"/>
    </w:pPr>
    <w:rPr>
      <w:rFonts w:ascii="Arial Black" w:hAnsi="Arial Black" w:cs="Arial Black"/>
      <w:spacing w:val="-40"/>
      <w:sz w:val="120"/>
    </w:rPr>
  </w:style>
  <w:style w:type="paragraph" w:styleId="4">
    <w:name w:val="heading 4"/>
    <w:basedOn w:val="a"/>
    <w:next w:val="a"/>
    <w:link w:val="40"/>
    <w:uiPriority w:val="9"/>
    <w:qFormat/>
    <w:rsid w:val="002426D6"/>
    <w:pPr>
      <w:keepNext/>
      <w:numPr>
        <w:ilvl w:val="3"/>
        <w:numId w:val="1"/>
      </w:numPr>
      <w:outlineLvl w:val="3"/>
    </w:pPr>
    <w:rPr>
      <w:rFonts w:ascii="Arial" w:hAnsi="Arial" w:cs="Arial"/>
      <w:b/>
      <w:color w:val="000000"/>
      <w:sz w:val="18"/>
    </w:rPr>
  </w:style>
  <w:style w:type="paragraph" w:styleId="5">
    <w:name w:val="heading 5"/>
    <w:basedOn w:val="a"/>
    <w:next w:val="a"/>
    <w:link w:val="50"/>
    <w:uiPriority w:val="9"/>
    <w:qFormat/>
    <w:rsid w:val="002426D6"/>
    <w:pPr>
      <w:keepNext/>
      <w:numPr>
        <w:ilvl w:val="4"/>
        <w:numId w:val="1"/>
      </w:numPr>
      <w:spacing w:before="120"/>
      <w:ind w:left="0" w:firstLine="284"/>
      <w:jc w:val="center"/>
      <w:outlineLvl w:val="4"/>
    </w:pPr>
    <w:rPr>
      <w:rFonts w:ascii="Tahoma" w:hAnsi="Tahoma" w:cs="Tahoma"/>
      <w:b/>
      <w:color w:val="000000"/>
      <w:sz w:val="18"/>
    </w:rPr>
  </w:style>
  <w:style w:type="paragraph" w:styleId="6">
    <w:name w:val="heading 6"/>
    <w:basedOn w:val="a"/>
    <w:next w:val="a"/>
    <w:link w:val="60"/>
    <w:qFormat/>
    <w:rsid w:val="002426D6"/>
    <w:pPr>
      <w:keepNext/>
      <w:numPr>
        <w:ilvl w:val="5"/>
        <w:numId w:val="1"/>
      </w:numPr>
      <w:spacing w:before="120"/>
      <w:ind w:left="0" w:firstLine="284"/>
      <w:jc w:val="center"/>
      <w:outlineLvl w:val="5"/>
    </w:pPr>
    <w:rPr>
      <w:rFonts w:ascii="Tahoma" w:hAnsi="Tahoma" w:cs="Tahoma"/>
      <w:b/>
      <w:sz w:val="18"/>
    </w:rPr>
  </w:style>
  <w:style w:type="paragraph" w:styleId="7">
    <w:name w:val="heading 7"/>
    <w:basedOn w:val="a"/>
    <w:next w:val="a"/>
    <w:link w:val="70"/>
    <w:uiPriority w:val="99"/>
    <w:qFormat/>
    <w:rsid w:val="002426D6"/>
    <w:pPr>
      <w:keepNext/>
      <w:numPr>
        <w:ilvl w:val="6"/>
        <w:numId w:val="1"/>
      </w:numPr>
      <w:outlineLvl w:val="6"/>
    </w:pPr>
    <w:rPr>
      <w:rFonts w:ascii="Arial" w:hAnsi="Arial" w:cs="Arial"/>
      <w:b/>
      <w:i/>
      <w:sz w:val="18"/>
    </w:rPr>
  </w:style>
  <w:style w:type="paragraph" w:styleId="8">
    <w:name w:val="heading 8"/>
    <w:basedOn w:val="a"/>
    <w:next w:val="a"/>
    <w:link w:val="80"/>
    <w:uiPriority w:val="99"/>
    <w:qFormat/>
    <w:rsid w:val="002426D6"/>
    <w:pPr>
      <w:keepNext/>
      <w:numPr>
        <w:ilvl w:val="7"/>
        <w:numId w:val="1"/>
      </w:numPr>
      <w:outlineLvl w:val="7"/>
    </w:pPr>
    <w:rPr>
      <w:b/>
      <w:i/>
      <w:color w:val="000000"/>
      <w:sz w:val="18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2426D6"/>
    <w:pPr>
      <w:keepNext/>
      <w:numPr>
        <w:ilvl w:val="8"/>
        <w:numId w:val="1"/>
      </w:numPr>
      <w:outlineLvl w:val="8"/>
    </w:pPr>
    <w:rPr>
      <w:rFonts w:ascii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6D6"/>
    <w:rPr>
      <w:rFonts w:ascii="Tahoma" w:eastAsia="Times New Roman" w:hAnsi="Tahoma" w:cs="Tahoma"/>
      <w:b/>
      <w:color w:val="000080"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426D6"/>
    <w:rPr>
      <w:rFonts w:ascii="Arial" w:eastAsia="Times New Roman" w:hAnsi="Arial" w:cs="Arial"/>
      <w:b/>
      <w:i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426D6"/>
    <w:rPr>
      <w:rFonts w:ascii="Arial Black" w:eastAsia="Times New Roman" w:hAnsi="Arial Black" w:cs="Arial Black"/>
      <w:spacing w:val="-40"/>
      <w:sz w:val="1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2426D6"/>
    <w:rPr>
      <w:rFonts w:ascii="Arial" w:eastAsia="Times New Roman" w:hAnsi="Arial" w:cs="Arial"/>
      <w:b/>
      <w:color w:val="000000"/>
      <w:sz w:val="1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2426D6"/>
    <w:rPr>
      <w:rFonts w:ascii="Tahoma" w:eastAsia="Times New Roman" w:hAnsi="Tahoma" w:cs="Tahoma"/>
      <w:b/>
      <w:color w:val="000000"/>
      <w:sz w:val="1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426D6"/>
    <w:rPr>
      <w:rFonts w:ascii="Tahoma" w:eastAsia="Times New Roman" w:hAnsi="Tahoma" w:cs="Tahoma"/>
      <w:b/>
      <w:sz w:val="18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2426D6"/>
    <w:rPr>
      <w:rFonts w:ascii="Arial" w:eastAsia="Times New Roman" w:hAnsi="Arial" w:cs="Arial"/>
      <w:b/>
      <w:i/>
      <w:sz w:val="18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2426D6"/>
    <w:rPr>
      <w:rFonts w:ascii="Times New Roman" w:eastAsia="Times New Roman" w:hAnsi="Times New Roman" w:cs="Times New Roman"/>
      <w:b/>
      <w:i/>
      <w:color w:val="000000"/>
      <w:sz w:val="18"/>
      <w:szCs w:val="20"/>
      <w:u w:val="single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2426D6"/>
    <w:rPr>
      <w:rFonts w:ascii="Arial" w:eastAsia="Times New Roman" w:hAnsi="Arial" w:cs="Arial"/>
      <w:b/>
      <w:color w:val="000000"/>
      <w:sz w:val="18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42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2018-06-18T13:40:00Z</dcterms:created>
  <dcterms:modified xsi:type="dcterms:W3CDTF">2018-06-18T13:41:00Z</dcterms:modified>
</cp:coreProperties>
</file>