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8F" w:rsidRDefault="00F22B8F" w:rsidP="00F22B8F">
      <w:pPr>
        <w:pStyle w:val="1"/>
        <w:spacing w:before="0" w:after="0"/>
        <w:jc w:val="left"/>
      </w:pPr>
      <w:bookmarkStart w:id="0" w:name="_Toc342033687"/>
      <w:bookmarkStart w:id="1" w:name="_Toc366478683"/>
      <w:r>
        <w:t>Р</w:t>
      </w:r>
      <w:r w:rsidRPr="003549B8">
        <w:t>оссийск</w:t>
      </w:r>
      <w:r>
        <w:t>и</w:t>
      </w:r>
      <w:bookmarkEnd w:id="0"/>
      <w:r>
        <w:t>й и мировой рынок цен на топливо (ГСМ)</w:t>
      </w:r>
      <w:bookmarkEnd w:id="1"/>
    </w:p>
    <w:p w:rsidR="00F22B8F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Дмитрий </w:t>
      </w: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Медведев рассказал, когда подешевеет бензин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>Председатель Правительства РФ Дмитрий Медведев заявил, что считает падение цен на нефть для России большей бедой, чем высокие цены на бензин. «Райские кущи я вам здесь не обещаю. К сожалению, это (рост цен на топливо) объективный эк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номический процесс. Рост цен замедлится, и может даже грохнуться вниз, но при одном условии: если завтра грохнутся цены на нефть. А это для нашей страны еще большая беда, чем рост цен на бензин», — ск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а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зал Медведев. Однако при этом глава правительства отметил, что необоснованное завышение цен необходимо пр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секать. «Если где-то происходит необоснованный рост цен, не соответствующий обычному рыночному росту, на это должны реагировать правоохранительные органы, бить по рукам. И потребители, кстати, об этом должны гов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рить», — добавил он. Медведев также отметил, что необходимо создавать условия для развития альтернативных видов топлива, при кот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рых производители бензина будут чувствовать себя в каких-то определенных рамках.</w:t>
      </w:r>
    </w:p>
    <w:p w:rsidR="00F22B8F" w:rsidRPr="00EF1925" w:rsidRDefault="00F22B8F" w:rsidP="00F22B8F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 xml:space="preserve">Россиян ждет снижение количества экологического бензина 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>Минэнерго России порекомендовал нефтяных компаниям рассмотреть возможность увеличения производс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т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ва бензина более низкого экологического качества «Евро-3», сократив производство «Евро-5». Спрос на низкокач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ственное топливо вырос в ряде регионов. На заседании штаба по мониторингу производства и потребления нефт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продуктов в России была высказана лишь потенциальная возможность увеличения производства. Кроме того, комп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а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ниям было рекомендовано обеспечить около 1,7 миллиона тонн запасов бензина и дизельного топлива. ФАС же с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бирается провести анализ факторов рост</w:t>
      </w:r>
      <w:r>
        <w:rPr>
          <w:rFonts w:ascii="Tahoma" w:eastAsia="Calibri" w:hAnsi="Tahoma" w:cs="Tahoma"/>
          <w:sz w:val="18"/>
          <w:szCs w:val="18"/>
          <w:lang w:eastAsia="en-US"/>
        </w:rPr>
        <w:t>а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цен на бензин и сделать прогноз из роста до конца года. </w:t>
      </w:r>
    </w:p>
    <w:p w:rsidR="00F22B8F" w:rsidRDefault="00F22B8F" w:rsidP="00F22B8F"/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Росстат зафиксировал трехпроцентный скачок цен на бензин в августе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>Цены на бензин марки АИ-92 в августе выросли на 3,1 процента. Об этом говорится в сообщении Росстата. При этом розничные цены на высокооктановый бензин АИ-95 выросли в среднем на 3,2 процента. Общий уровень инфляции в августе составил 0,1 процента. В июле статистики отметили более скромные темпы р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ста на топливо — всего за месяц бензин в розничной продаже подорожал на 0,1 процента. С начала года цены на бе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зин увеличились на 4,3 процента, а по сравнению с августом 2012 года — на 9,2 процента. При этом уровень инфляции с января по август 2013 года составил 4,5 процента, а в 2012 году годовая инфляция достигла 6,5 процентов. Росстат не соо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б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щил среднюю цену топлива за весь август, однако, по данным статистиков, за период с 19 по 25 августа ст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имость одного литра бензина в среднем по России выросла на семь копеек и составила 30,17 рубля. Усредненные ц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ны на АИ-92 и АИ-95 достигли 29,18 и 32,15 рубля за литр соответственно.</w:t>
      </w:r>
    </w:p>
    <w:p w:rsidR="00F22B8F" w:rsidRDefault="00F22B8F" w:rsidP="00F22B8F"/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Цены на б</w:t>
      </w: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ензин в России продолжил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свой рост к осени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Бензин в России продолжил дорожать. По данным Росстата, </w:t>
      </w:r>
      <w:r>
        <w:rPr>
          <w:rFonts w:ascii="Tahoma" w:eastAsia="Calibri" w:hAnsi="Tahoma" w:cs="Tahoma"/>
          <w:sz w:val="18"/>
          <w:szCs w:val="18"/>
          <w:lang w:eastAsia="en-US"/>
        </w:rPr>
        <w:t>к началу сентября,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цены на автомобильное то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п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ливо в рознице поднялись на 0,2%. Розничные цены на дизельное топливо за этот период выросли на 0,1%. С нач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а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ла этого года бензин вырос в цене на 3,8%, дизтопливо – на полтора процента. В 39 центрах субъектов Российской Федер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а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ции отмечено удорожание бензина. Более всего цены выросли в Орле - на 3,0%, Махачкале и Владикавказе - на 2,1%. В 41 центре субъектов Российской Федерации цены на бензин автомобильный остались на уровне пред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ы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дущей недели. Снижение цен на бензин на 0,4% было зафиксировано в Назрани, на 0,1% -Саратове и Великом Но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в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городе. В Москве и Санкт-Петербурге потребительские цены на бензин автомобильный в среднем за неделю увел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чились на 0,3% и 0,1% соответственно. Средние потребительские цены на автомобильный бензин на 26 августа с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ставили 30,17 руб. за литр, на бензин марки А-76 (АИ-80) - 27,19 руб. за литр, марки АИ-92 (АИ-93 и т.п.) - 29,18 руб. за литр, марки АИ-95 и выше - 32,15 руб. за литр, на дизельное топливо - 31,29 руб. за литр. Производство автобензина в России с 19 по 25 августа увеличилось на 3,1%, составив 805,7 тыс. тонн, а производство д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зельного топлива сократилось на 0,7%, составив 1,436 млн. тонн.</w:t>
      </w:r>
    </w:p>
    <w:p w:rsidR="00F22B8F" w:rsidRPr="00EF1925" w:rsidRDefault="00F22B8F" w:rsidP="00F22B8F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22B8F" w:rsidRPr="00EF1925" w:rsidRDefault="00F22B8F" w:rsidP="00F22B8F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Средние розничные цены на АИ-92 в Российских регионах по состоянию на 11.09.2013г.:</w:t>
      </w:r>
    </w:p>
    <w:p w:rsidR="00F22B8F" w:rsidRPr="00EF1925" w:rsidRDefault="00F22B8F" w:rsidP="00F22B8F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(руб./</w:t>
      </w:r>
      <w:proofErr w:type="spellStart"/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тн</w:t>
      </w:r>
      <w:proofErr w:type="spellEnd"/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)</w:t>
      </w:r>
    </w:p>
    <w:p w:rsidR="00F22B8F" w:rsidRDefault="00F22B8F" w:rsidP="00F22B8F">
      <w:pPr>
        <w:jc w:val="center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i/>
          <w:sz w:val="18"/>
          <w:szCs w:val="18"/>
          <w:lang w:eastAsia="en-US"/>
        </w:rPr>
        <w:t>(Напомним, что тонна бензина зависит от плотности, а плотность в свою очередь от температуры окружающей ср</w:t>
      </w:r>
      <w:r w:rsidRPr="00EF1925">
        <w:rPr>
          <w:rFonts w:ascii="Tahoma" w:eastAsia="Calibri" w:hAnsi="Tahoma" w:cs="Tahoma"/>
          <w:i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i/>
          <w:sz w:val="18"/>
          <w:szCs w:val="18"/>
          <w:lang w:eastAsia="en-US"/>
        </w:rPr>
        <w:t>ды,  поэтому, когда идет отгрузка топлива, усредненный показатель плотности для всех видов бензинов составляет 0,730 кг/литр, для дизельного топлива 0,769 кг/литр, исходя из чего: 1 тонна бензина = 1000 кг: 0.730 кг/л = 1370 литров 1 тонна дизтоплива = 1000 кг</w:t>
      </w:r>
      <w:proofErr w:type="gramStart"/>
      <w:r w:rsidRPr="00EF1925">
        <w:rPr>
          <w:rFonts w:ascii="Tahoma" w:eastAsia="Calibri" w:hAnsi="Tahoma" w:cs="Tahoma"/>
          <w:i/>
          <w:sz w:val="18"/>
          <w:szCs w:val="18"/>
          <w:lang w:eastAsia="en-US"/>
        </w:rPr>
        <w:t xml:space="preserve"> :</w:t>
      </w:r>
      <w:proofErr w:type="gramEnd"/>
      <w:r w:rsidRPr="00EF1925">
        <w:rPr>
          <w:rFonts w:ascii="Tahoma" w:eastAsia="Calibri" w:hAnsi="Tahoma" w:cs="Tahoma"/>
          <w:i/>
          <w:sz w:val="18"/>
          <w:szCs w:val="18"/>
          <w:lang w:eastAsia="en-US"/>
        </w:rPr>
        <w:t xml:space="preserve"> 0.769 кг/л = 1300 литров)</w:t>
      </w:r>
    </w:p>
    <w:p w:rsidR="00F22B8F" w:rsidRPr="00EF1925" w:rsidRDefault="00F22B8F" w:rsidP="00F22B8F">
      <w:pPr>
        <w:rPr>
          <w:rFonts w:ascii="Tahoma" w:eastAsia="Calibri" w:hAnsi="Tahoma" w:cs="Tahoma"/>
          <w:i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8"/>
        <w:gridCol w:w="1548"/>
      </w:tblGrid>
      <w:tr w:rsidR="00F22B8F" w:rsidRPr="00EF1925" w:rsidTr="00EF0AEA">
        <w:trPr>
          <w:trHeight w:val="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Регион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Цена (</w:t>
            </w:r>
            <w:proofErr w:type="spellStart"/>
            <w:r w:rsidRPr="00EF192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руб</w:t>
            </w:r>
            <w:proofErr w:type="spellEnd"/>
            <w:r w:rsidRPr="00EF1925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 w:rsidRPr="00EF192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тн</w:t>
            </w:r>
            <w:proofErr w:type="spellEnd"/>
            <w:r w:rsidRPr="00EF192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22B8F" w:rsidRPr="00EF1925" w:rsidTr="00EF0AEA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36400</w:t>
            </w:r>
          </w:p>
        </w:tc>
      </w:tr>
      <w:tr w:rsidR="00F22B8F" w:rsidRPr="00EF1925" w:rsidTr="00EF0AEA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34200</w:t>
            </w:r>
          </w:p>
        </w:tc>
      </w:tr>
      <w:tr w:rsidR="00F22B8F" w:rsidRPr="00EF1925" w:rsidTr="00EF0AEA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35551</w:t>
            </w:r>
          </w:p>
        </w:tc>
      </w:tr>
      <w:tr w:rsidR="00F22B8F" w:rsidRPr="00EF1925" w:rsidTr="00EF0AEA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34456</w:t>
            </w:r>
          </w:p>
        </w:tc>
      </w:tr>
      <w:tr w:rsidR="00F22B8F" w:rsidRPr="00EF1925" w:rsidTr="00EF0AEA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36100</w:t>
            </w:r>
          </w:p>
        </w:tc>
      </w:tr>
      <w:tr w:rsidR="00F22B8F" w:rsidRPr="00EF1925" w:rsidTr="00EF0AEA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35811</w:t>
            </w:r>
          </w:p>
        </w:tc>
      </w:tr>
      <w:tr w:rsidR="00F22B8F" w:rsidRPr="00EF1925" w:rsidTr="00EF0AEA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lastRenderedPageBreak/>
              <w:t>Республика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34850</w:t>
            </w:r>
          </w:p>
        </w:tc>
      </w:tr>
      <w:tr w:rsidR="00F22B8F" w:rsidRPr="00EF1925" w:rsidTr="00EF0AEA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35800</w:t>
            </w:r>
          </w:p>
        </w:tc>
      </w:tr>
      <w:tr w:rsidR="00F22B8F" w:rsidRPr="00EF1925" w:rsidTr="00EF0AEA">
        <w:trPr>
          <w:trHeight w:hRule="exact"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36490</w:t>
            </w:r>
          </w:p>
        </w:tc>
      </w:tr>
    </w:tbl>
    <w:p w:rsidR="00F22B8F" w:rsidRPr="00EF1925" w:rsidRDefault="00F22B8F" w:rsidP="00F22B8F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22B8F" w:rsidRDefault="00F22B8F" w:rsidP="00F22B8F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391150" cy="23241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8F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Pr="0029458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294585">
        <w:rPr>
          <w:rFonts w:ascii="Tahoma" w:eastAsia="Calibri" w:hAnsi="Tahoma" w:cs="Tahoma"/>
          <w:b/>
          <w:sz w:val="18"/>
          <w:szCs w:val="18"/>
          <w:lang w:eastAsia="en-US"/>
        </w:rPr>
        <w:t>Новые стандарты топлива никак не повлияют на его качество, - эксперт</w:t>
      </w:r>
    </w:p>
    <w:p w:rsidR="00F22B8F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94585">
        <w:rPr>
          <w:rFonts w:ascii="Tahoma" w:eastAsia="Calibri" w:hAnsi="Tahoma" w:cs="Tahoma"/>
          <w:sz w:val="18"/>
          <w:szCs w:val="18"/>
          <w:lang w:eastAsia="en-US"/>
        </w:rPr>
        <w:t>Европейские стандарты топлива, не повлияют на качество реализуемых нефтепродуктов. Такое мнение  в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ы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сказал заместитель директора Научно-технического центра «Психея» Г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еннадий Рябцев. По его словам, 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отменой или изменением стандартов проблемы не решить, особенно в ситуации, когда отсутствует система госконтроля кач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е</w:t>
      </w:r>
      <w:r>
        <w:rPr>
          <w:rFonts w:ascii="Tahoma" w:eastAsia="Calibri" w:hAnsi="Tahoma" w:cs="Tahoma"/>
          <w:sz w:val="18"/>
          <w:szCs w:val="18"/>
          <w:lang w:eastAsia="en-US"/>
        </w:rPr>
        <w:t>ства бензина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. Как отметил эксперт, с 1 июля 2013 года были отменены старые стандарты на бензин, но, по просьбам п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требителей, было продлено действие стандартов на дизтопливо до 1 ноября 2013 года. «Думаю, это было бы опра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в</w:t>
      </w:r>
      <w:r>
        <w:rPr>
          <w:rFonts w:ascii="Tahoma" w:eastAsia="Calibri" w:hAnsi="Tahoma" w:cs="Tahoma"/>
          <w:sz w:val="18"/>
          <w:szCs w:val="18"/>
          <w:lang w:eastAsia="en-US"/>
        </w:rPr>
        <w:t>да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но, если бы государство предприняло какие-то другие действия, например, заказало бы дизтопливо укр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а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инским НПЗ и направило его в госструктуры, не допуская поступления в больших колич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 xml:space="preserve">ствах такого топлива на АЗС». </w:t>
      </w:r>
    </w:p>
    <w:p w:rsidR="00F22B8F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Default="00F22B8F" w:rsidP="00F22B8F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229225" cy="2466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8F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Default="00F22B8F" w:rsidP="00F22B8F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200650" cy="2590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8F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Pr="0029458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294585">
        <w:rPr>
          <w:rFonts w:ascii="Tahoma" w:eastAsia="Calibri" w:hAnsi="Tahoma" w:cs="Tahoma"/>
          <w:b/>
          <w:sz w:val="18"/>
          <w:szCs w:val="18"/>
          <w:lang w:eastAsia="en-US"/>
        </w:rPr>
        <w:t>Минфин пытается сократить экспорт дизельного топлива</w:t>
      </w:r>
    </w:p>
    <w:p w:rsidR="00F22B8F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94585">
        <w:rPr>
          <w:rFonts w:ascii="Tahoma" w:eastAsia="Calibri" w:hAnsi="Tahoma" w:cs="Tahoma"/>
          <w:sz w:val="18"/>
          <w:szCs w:val="18"/>
          <w:lang w:eastAsia="en-US"/>
        </w:rPr>
        <w:t>Министерство финансов предлагает изменить ставки акцизов на дизельное топливо, с тем</w:t>
      </w:r>
      <w:r>
        <w:rPr>
          <w:rFonts w:ascii="Tahoma" w:eastAsia="Calibri" w:hAnsi="Tahoma" w:cs="Tahoma"/>
          <w:sz w:val="18"/>
          <w:szCs w:val="18"/>
          <w:lang w:eastAsia="en-US"/>
        </w:rPr>
        <w:t>,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 xml:space="preserve"> чтобы насытить российский рынок более качественной продукцией. Для этого чиновники хотят понизить ставки акциза на дизтопл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 xml:space="preserve">во класса "Евро-5" и, наоборот, повысить для менее качественного "Евро-4". В теории это должно заставить </w:t>
      </w:r>
      <w:proofErr w:type="spellStart"/>
      <w:r w:rsidRPr="00294585">
        <w:rPr>
          <w:rFonts w:ascii="Tahoma" w:eastAsia="Calibri" w:hAnsi="Tahoma" w:cs="Tahoma"/>
          <w:sz w:val="18"/>
          <w:szCs w:val="18"/>
          <w:lang w:eastAsia="en-US"/>
        </w:rPr>
        <w:t>нефт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переработчиков</w:t>
      </w:r>
      <w:proofErr w:type="spellEnd"/>
      <w:r w:rsidRPr="00294585">
        <w:rPr>
          <w:rFonts w:ascii="Tahoma" w:eastAsia="Calibri" w:hAnsi="Tahoma" w:cs="Tahoma"/>
          <w:sz w:val="18"/>
          <w:szCs w:val="18"/>
          <w:lang w:eastAsia="en-US"/>
        </w:rPr>
        <w:t xml:space="preserve"> увеличить производство "Евро-5" и частично переориентировать его поставки </w:t>
      </w:r>
      <w:proofErr w:type="gramStart"/>
      <w:r w:rsidRPr="00294585">
        <w:rPr>
          <w:rFonts w:ascii="Tahoma" w:eastAsia="Calibri" w:hAnsi="Tahoma" w:cs="Tahoma"/>
          <w:sz w:val="18"/>
          <w:szCs w:val="18"/>
          <w:lang w:eastAsia="en-US"/>
        </w:rPr>
        <w:t>с</w:t>
      </w:r>
      <w:proofErr w:type="gramEnd"/>
      <w:r w:rsidRPr="00294585">
        <w:rPr>
          <w:rFonts w:ascii="Tahoma" w:eastAsia="Calibri" w:hAnsi="Tahoma" w:cs="Tahoma"/>
          <w:sz w:val="18"/>
          <w:szCs w:val="18"/>
          <w:lang w:eastAsia="en-US"/>
        </w:rPr>
        <w:t xml:space="preserve"> внешнего на вну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т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ренний рынок. Об этом сообщают Известия. В распоряжении "Известий" оказалась копия документа с расчетами Минфина к совместному с Федеральной антимонопольной службой (ФАС) совещанию, которое прошло в начале а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в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густа. Мероприятие было посвящено вопросам ценообразования на внутреннем рынке товарных топлив. По информации Ми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н</w:t>
      </w:r>
      <w:r w:rsidRPr="00294585">
        <w:rPr>
          <w:rFonts w:ascii="Tahoma" w:eastAsia="Calibri" w:hAnsi="Tahoma" w:cs="Tahoma"/>
          <w:sz w:val="18"/>
          <w:szCs w:val="18"/>
          <w:lang w:eastAsia="en-US"/>
        </w:rPr>
        <w:t>фина, 60% произведенного в России дизтоплива "Евро-5" уходит на экспорт, а внутри страны продается топливо более низкого качества,</w:t>
      </w:r>
    </w:p>
    <w:p w:rsidR="00F22B8F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Default="00F22B8F" w:rsidP="00F22B8F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276850" cy="2457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8F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Почти на 6% подорожал бензин марки АИ-95 в начале августа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>В начале авг</w:t>
      </w:r>
      <w:r>
        <w:rPr>
          <w:rFonts w:ascii="Tahoma" w:eastAsia="Calibri" w:hAnsi="Tahoma" w:cs="Tahoma"/>
          <w:sz w:val="18"/>
          <w:szCs w:val="18"/>
          <w:lang w:eastAsia="en-US"/>
        </w:rPr>
        <w:t>уста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был зафиксирован рост стоимости топлива. Бензин на всех заправках подорожал в завис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мости от оператора в среднем на 2,6-3,3 процента. Больше всего поднялась цена на популярную марку бенз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на АИ-95 - на 1 рубль 70 копеек (почти на шесть процентов). Об этом сообщили в пресс-службе правительства. В июле 2013 года по отношению к июлю прошлого года прирост цен составил: на дизельное то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п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ливо - 14 процентов (3,89 рубля), бензин марки АИ-92 - 7,6 процента (1,96 рубля), бензин марки АИ-95 - 9,1 процента (2,55 рубля). В сравн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нии с июнем 2013 года цены в среднем возросли незначительно: шесть копеек на дизельное то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п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ливо, 11 копеек на 95-й бензин, а стоимость бензина марки АИ-92 не изменилась. "Несмотря на некоторое увелич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ние цены топлива, согласно данным Министерства энергетики Российской Федерации, стоимость бензина </w:t>
      </w:r>
      <w:r>
        <w:rPr>
          <w:rFonts w:ascii="Tahoma" w:eastAsia="Calibri" w:hAnsi="Tahoma" w:cs="Tahoma"/>
          <w:sz w:val="18"/>
          <w:szCs w:val="18"/>
          <w:lang w:eastAsia="en-US"/>
        </w:rPr>
        <w:t>остаётся более или менее стабильной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", - подчеркнула региональный министр экономического развития и конкурентной политики Ирина Гл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а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дышева</w:t>
      </w:r>
      <w:r>
        <w:rPr>
          <w:rFonts w:ascii="Tahoma" w:eastAsia="Calibri" w:hAnsi="Tahoma" w:cs="Tahoma"/>
          <w:sz w:val="18"/>
          <w:szCs w:val="18"/>
          <w:lang w:eastAsia="en-US"/>
        </w:rPr>
        <w:t>.</w:t>
      </w:r>
    </w:p>
    <w:p w:rsidR="00F22B8F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Default="00F22B8F" w:rsidP="00F22B8F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372100" cy="2590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8F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Мнение экспертов отрасли о возможном р</w:t>
      </w: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ост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 xml:space="preserve"> цен на бензин в РФ 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в ближайшем будущем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>Цены на бензин в России продолжат двигаться вверх, прогнозируют аналитики "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Инвесткафе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>". Как отмечают экспе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р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ты, желание Министерства энергетики РФ снизить цену на топливо за счет уменьшения его экологических показат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лей — с "Евро-5" на "Евро-3" — приведет к противоположному процессу.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Понижение экологических параметров повлияет на рост величины производства, однако увеличение будет заметным только при производстве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низкооктановых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типов Аи-80, для остальных видов изменение величины объемов не будет заметно. Почти все заводы уже перешли на выпуск топлива класса "Евро-5", и обратное возвращение для них нец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лесообразно. А для тех НПЗ, которые и на данный момент занимаются производством горючего стандарта "Евро-3", потребуется новая декларация тех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. 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регламента. Существует версия, что министерство стремится увеличить произво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д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ство "Евро-3" для стимулирования доходов госбюджета. Кроме того, повышение цен на бензин может быть спров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цировано выступлением заместителя министра финансов Сергея Шаталова, который предложил повысить акцизы на горючее стандарта "Евро-4" и "Евро-5". "Российские власти оценивают ситуацию на внутреннем топли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в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ном рынке как стабильную. По данным ФАС, в период с 2007-го по 2012 год бензин в РФ подорожал в 1,5-1,6 раза, а в мире — вдвое. Выходит, что цены на бензин, как и на другие товары, продолжат двигаться вверх", — делают в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ы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вод аналитики. По их мнению, "справедливым выглядело бы удорожание бензина, соответствующее росту инфл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я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ции, однако ежегодное повышение акцизов, от которого государство отказываться не намерено, обусловливает б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лее резкое ускорение роста цен на топливо, чем на другие товары на рынке РФ".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Напомним, что, по данным Росстата, потребительские цены на автомобильный бензин в среднем по России с </w:t>
      </w:r>
      <w:r>
        <w:rPr>
          <w:rFonts w:ascii="Tahoma" w:eastAsia="Calibri" w:hAnsi="Tahoma" w:cs="Tahoma"/>
          <w:sz w:val="18"/>
          <w:szCs w:val="18"/>
          <w:lang w:eastAsia="en-US"/>
        </w:rPr>
        <w:t>4 сентября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2013 года повысились на 0,6% в сравнении с предыдущим отчетным периодом. Неделей ранее стоимость бе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зина выросла на 1,4%, до этого — на 0,5%, еще ранее — на 0,2%.</w:t>
      </w:r>
    </w:p>
    <w:p w:rsidR="00F22B8F" w:rsidRPr="00EF1925" w:rsidRDefault="00F22B8F" w:rsidP="00F22B8F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Выпуск автобензина в РФ за 8 месяцев вырос на 2,1%, до 25,8 млн. тонн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>Объем выпуска автомобильного бензина в РФ в январе-августе 2013 года вырос на 2,1% по сравнению с аналогичным периодом 2012 года и составил 25,753 миллиона тонн, следует из материалов ЦДУ ТЭК.  Выпуск д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зельного топлива увеличился на 3,38% - до 47,777 миллиона тонн. Производство топочного мазута возросло на 2,78% - до 50,542 миллиона тонн, авиационного керосина - снизилось на 0,14%, до 6,891 миллиона тонн.  По да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ным ЦДУ ТЭК, объем поставок нефтяного сырья на переработку в России возрос в январе-августе на 3,48% и сост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а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вил 182,662 миллиона тонн. Первичная переработка сырья на НПЗ достигла 180,816 миллиона тонн (рост на 2,59%).</w:t>
      </w:r>
    </w:p>
    <w:p w:rsidR="00F22B8F" w:rsidRPr="00EF1925" w:rsidRDefault="00F22B8F" w:rsidP="00F22B8F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i/>
          <w:sz w:val="18"/>
          <w:szCs w:val="18"/>
          <w:lang w:eastAsia="en-US"/>
        </w:rPr>
        <w:t>Новости ГСМ в некоторых регионах России:</w:t>
      </w:r>
    </w:p>
    <w:p w:rsidR="00F22B8F" w:rsidRPr="00EF1925" w:rsidRDefault="00F22B8F" w:rsidP="00F22B8F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Дизельное топливо на Колыме растет в цене быстрее бензина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Индекс потребительских цен на нефтепродукты в августе 2013 года по Магаданской области составил 100,1%. С начала года нефтепродукты подорожали на 1,2%, сообщает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Магаданстат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>.  За месяц средние цены на д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зельное топливо увеличились на 1,4%, при этом стоимость автомобильного бензина всех марок по сравнению с пр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дыдущим  месяцем не изменилась. С  начала года дизельное топливо подорожало на 4,8%,  бензин  марок  АИ-95 и АИ-92 -  на  1,1% и 0,9%  соответственно.  На  заправках   Магаданской   области   в  конце  августа  цена  одного литра  бенз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на марок АИ-92 составила – 36,86 рубля (в августе 2012 года – 32,77 рубля);  АИ-95 – 38,20 рубля (33,60 рубля);  дизельного топлива – 39,41 рубля (35,26 рубля).</w:t>
      </w:r>
    </w:p>
    <w:p w:rsidR="00F22B8F" w:rsidRPr="00EF1925" w:rsidRDefault="00F22B8F" w:rsidP="00F22B8F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Цены на бензин в Иркутской области растут вертикально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В Иркутской области за последние три недели крупнейшие операторы АЗС подняли цены на бензин три раза подряд. Прибайкалье давно имеет репутацию региона с одними из самых высоких цен на бензин в стране. Судя по всему, нефтяников такое положение вещей вполне устраивает. С начала августа АЗС области в среднем на рубль подняли цены на бензин основных марок. Крайнее повышение случилось совсем недавно, 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lastRenderedPageBreak/>
        <w:t>20 августа. Если еще в середине лета средний чек на литр бензина АИ-92 составлял 29 рублей 50 копеек, то к концу августа он повысился до 30,5 - 30,8 рублей. Встречаются и более высокие цены - 31 и даже 31,3 за литр. Большинство производителей связывают повышение цен с увеличением сезонного спроса. Впрочем, история показала, что с концом сезона цены и не думают опускаться. Скорее, наоборот. Владельцы АЗС полны оптимизма - по их мнению, осенью цены на бензин продолжат расти. Причем, быстро.</w:t>
      </w: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 xml:space="preserve">Бензин в Новосибирске подорожал 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>к началу осени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>Бензин марок Аи-92, Аи-95 и Аи-98 подорожал на большей части АЗС Новосибирска на 50 копеек, сообщ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ла руководитель Ассоциации независимых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нефтетрейдеров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"Сибирь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-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ГСМ" Юлия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Золотовская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>. "Оптовая стоимость на бензин выросла. Сегодня (в четверг) некоторые заправочные станции переписали ценник на розницу. В частности, топливо марки Аи-92, Аи-95 и Аи-95 подорожало на 50 копеек. Дизельное топливо (ДТ) в цене не изм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нилось", — сказала она. Первой, по ее словам, повысила цену самая крупная сеть АЗС в городе — "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Газпро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м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нефть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>". Аи-92 здесь уже — 28,50 рубля за литр, Аи-95 — 30,70, Аи-98 — 32,50 рубля, Д/Т, как и прежде — 30,50 рубля. В ближайшее время поменяется цена и на других АЗС. "По моей информации, не последнее подорожание, опт выра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с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тет еще на 700 рублей", — сказал председатель совета директоров сети АЗС "Синтез" Геннадий Панкеев. Как отметила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Золото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в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ская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>, рост оптовой цены в течение полутора месяцев составил 6,3 тысячи рублей за тонну. "Разн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ца между оптовой и розничной ценой составляет около 1,5 рубля за литр. Издержки составляют в районе 2,5-3 ру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б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лей за литр. Маржа сейчас не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покрывает издержки работы АЗС.</w:t>
      </w:r>
    </w:p>
    <w:p w:rsidR="00F22B8F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Бензин в Тюменской области подорожал, а дизельное топливо – нет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>Специалисты «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Тюменьстата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>» проанализировали динамику цен на бензин в регионе. Согласно полученным данным, в августе по сравнению с предыдущим месяцем отмечен рост стоимости автомобильного бензина на 2,4%, а дизельного топлива – на 0,7%. В Ханты-Мансийском автономном округе потребительские цены на бензин повыс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лись на 4%, на дизтопливо – на 0,5%. В Ямало-Ненецком автономном округе бензин подорожал на 0,8%, а дизель – на 3,0%. В Тюменской области</w:t>
      </w:r>
      <w:r>
        <w:rPr>
          <w:rFonts w:ascii="Tahoma" w:eastAsia="Calibri" w:hAnsi="Tahoma" w:cs="Tahoma"/>
          <w:sz w:val="18"/>
          <w:szCs w:val="18"/>
          <w:lang w:eastAsia="en-US"/>
        </w:rPr>
        <w:t>,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(без автономных </w:t>
      </w:r>
      <w:proofErr w:type="gramStart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округов) </w:t>
      </w:r>
      <w:proofErr w:type="gramEnd"/>
      <w:r w:rsidRPr="00EF1925">
        <w:rPr>
          <w:rFonts w:ascii="Tahoma" w:eastAsia="Calibri" w:hAnsi="Tahoma" w:cs="Tahoma"/>
          <w:sz w:val="18"/>
          <w:szCs w:val="18"/>
          <w:lang w:eastAsia="en-US"/>
        </w:rPr>
        <w:t>цены изменились следующим образом: стоимость автом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бильного бензина выросла на 1,1%, а на дизельное топливо остались без изменения.</w:t>
      </w:r>
    </w:p>
    <w:p w:rsidR="00F22B8F" w:rsidRPr="00B323F9" w:rsidRDefault="00F22B8F" w:rsidP="00F22B8F">
      <w:pPr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B323F9">
        <w:rPr>
          <w:rFonts w:ascii="Tahoma" w:eastAsia="Calibri" w:hAnsi="Tahoma" w:cs="Tahoma"/>
          <w:b/>
          <w:i/>
          <w:sz w:val="18"/>
          <w:szCs w:val="18"/>
          <w:lang w:eastAsia="en-US"/>
        </w:rPr>
        <w:t>Зарубежные новости рынка ГСМ</w:t>
      </w:r>
    </w:p>
    <w:p w:rsidR="00F22B8F" w:rsidRPr="00EF1925" w:rsidRDefault="00F22B8F" w:rsidP="00F22B8F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Власти пообещали, что бензин в Украине не подорожает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Министр энергетики и угольной промышленности Украины Эдуард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Ставицкий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пообещал, что из-за остановки на ремонт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Мозырского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НПЗ (Беларусь) цены на бензин в Украине не вырастут, передает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ЛІГАБізнесІнформ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>. «Мин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стерство знало заранее об этом. Мы приняли ряд мер, и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трейдерами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закуплено топливо в Румынии и Болгарии, с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ставлен график разгрузки танкеров, поэтому рынок будет стабилен», — отметил чиновник. По словам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Ставицкого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>, существует два варианта диверсификации поставок топлива — за счет внутренней добычи и реализации через ко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м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панию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Укрнефть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. «Рынок находится в стабильной ситуации. А за спекуляциями мы будем смотреть. Некоторые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тре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й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деры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подогревают интерес, чтобы под шумок поднять цены, как это обычно бывает. Мы поставили в известность мин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стерство доходов и сборов и Антимонопольный комитет, которые будут отслеживать ситуацию», — подчеркнул он. Ранее сообщалось, что уже в сентябре-октябре может произойти увеличение стоимости бензина всех марок в Украине из-за переориентации рынка на альтернативные источники импорта топлива. В середине августа также с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общалось, что Украина за семь месяцев сократила производство бензина вдвое на фоне отсутствия поставок росси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й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ской нефти.</w:t>
      </w:r>
    </w:p>
    <w:p w:rsidR="00F22B8F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Белоруссия повысила акцизы на бензин на 45%, дизтопливо - на 70%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Белоруссия повысила ставки акцизов на автомобильный бензин на 45%, на дизельное топливо – на 70%. Такое положение закреплено указом президента от 26 августа, который в среду официально опубликован на </w:t>
      </w:r>
      <w:proofErr w:type="gramStart"/>
      <w:r w:rsidRPr="00EF1925">
        <w:rPr>
          <w:rFonts w:ascii="Tahoma" w:eastAsia="Calibri" w:hAnsi="Tahoma" w:cs="Tahoma"/>
          <w:sz w:val="18"/>
          <w:szCs w:val="18"/>
          <w:lang w:eastAsia="en-US"/>
        </w:rPr>
        <w:t>Наци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нальном</w:t>
      </w:r>
      <w:proofErr w:type="gram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правовом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интернет-портале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. Указ вступает в силу после его официального опубликования. Согласно указу, ставка акциза на бензин с октановым числом 95 и выше составит 1 </w:t>
      </w:r>
      <w:proofErr w:type="spellStart"/>
      <w:proofErr w:type="gramStart"/>
      <w:r w:rsidRPr="00EF1925">
        <w:rPr>
          <w:rFonts w:ascii="Tahoma" w:eastAsia="Calibri" w:hAnsi="Tahoma" w:cs="Tahoma"/>
          <w:sz w:val="18"/>
          <w:szCs w:val="18"/>
          <w:lang w:eastAsia="en-US"/>
        </w:rPr>
        <w:t>млн</w:t>
      </w:r>
      <w:proofErr w:type="spellEnd"/>
      <w:proofErr w:type="gram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785 тыс. 700 бел. рублей за 1 тонну, бензин с окт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а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новым числом от 91 до 95 – 2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млн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238 тыс. 800 бел. рублей, с октановым числом до 91 – 2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млн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539 тыс. 100 бел. рублей. Ставка акциза на дизтопливо установлена в размере 1 </w:t>
      </w:r>
      <w:proofErr w:type="spellStart"/>
      <w:proofErr w:type="gramStart"/>
      <w:r w:rsidRPr="00EF1925">
        <w:rPr>
          <w:rFonts w:ascii="Tahoma" w:eastAsia="Calibri" w:hAnsi="Tahoma" w:cs="Tahoma"/>
          <w:sz w:val="18"/>
          <w:szCs w:val="18"/>
          <w:lang w:eastAsia="en-US"/>
        </w:rPr>
        <w:t>млн</w:t>
      </w:r>
      <w:proofErr w:type="spellEnd"/>
      <w:proofErr w:type="gram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686 тыс. 100 бел. рублей. Такие ставки будут действовать до 31 декабря 2013 года. Как сообщалось, ранее Минфин Белоруссии рассматривал возможность пов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ы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шения ставок акцизов на автомобильное топливо: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автобензины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– на 20% от тогда действовавших, дизтопливо – примерно на 33-35%. Позднее, в августе 2013 года, Минфин рассматривал возможность повышения ставок акцизов на 75% на фоне выпадающих во II полугодии 2013 года доходов в размере более 9 трлн. бел</w:t>
      </w:r>
      <w:proofErr w:type="gramStart"/>
      <w:r w:rsidRPr="00EF1925">
        <w:rPr>
          <w:rFonts w:ascii="Tahoma" w:eastAsia="Calibri" w:hAnsi="Tahoma" w:cs="Tahoma"/>
          <w:sz w:val="18"/>
          <w:szCs w:val="18"/>
          <w:lang w:eastAsia="en-US"/>
        </w:rPr>
        <w:t>.</w:t>
      </w:r>
      <w:proofErr w:type="gram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proofErr w:type="gramStart"/>
      <w:r w:rsidRPr="00EF1925">
        <w:rPr>
          <w:rFonts w:ascii="Tahoma" w:eastAsia="Calibri" w:hAnsi="Tahoma" w:cs="Tahoma"/>
          <w:sz w:val="18"/>
          <w:szCs w:val="18"/>
          <w:lang w:eastAsia="en-US"/>
        </w:rPr>
        <w:t>р</w:t>
      </w:r>
      <w:proofErr w:type="gram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ублей. В Белоруссии действует государственное регулирование розничных цен на автомобильное топливо. До установления новых ставок акцизов в цене 1 тонны дизтоплива акциз занимал 14%, в цене тонны бензина, в зависимости от марки – 16-24%. Закон о бюджете на 2013 год предусматривает поступления в размере 4,37 </w:t>
      </w:r>
      <w:proofErr w:type="spellStart"/>
      <w:proofErr w:type="gramStart"/>
      <w:r w:rsidRPr="00EF1925">
        <w:rPr>
          <w:rFonts w:ascii="Tahoma" w:eastAsia="Calibri" w:hAnsi="Tahoma" w:cs="Tahoma"/>
          <w:sz w:val="18"/>
          <w:szCs w:val="18"/>
          <w:lang w:eastAsia="en-US"/>
        </w:rPr>
        <w:t>трлн</w:t>
      </w:r>
      <w:proofErr w:type="spellEnd"/>
      <w:proofErr w:type="gram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бел. рублей за счет акцизов на а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в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томобильное топливо, что составляет около 25% всех поступлений от акцизов в консолидированном бюджете. Пр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дыдущее повышение ставок акцизов на нефтепродукты было произведено с 1 января 2013 года, тогда они были п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вышены на 20%. При этом изменениями в Налоговый кодекс Белоруссии, которые вступили в силу также с 1 янв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а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ря 2013 года, предусматривалось, что в течение года ставки акцизов на нефтепродукты меняться не будут.</w:t>
      </w:r>
    </w:p>
    <w:p w:rsidR="00F22B8F" w:rsidRPr="00EF1925" w:rsidRDefault="00F22B8F" w:rsidP="00F22B8F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В Казахстане рост цен на ГСМ не ожидается, так как пока на нефтебазах есть достаточные запасы</w:t>
      </w:r>
    </w:p>
    <w:p w:rsidR="00F22B8F" w:rsidRPr="00B323F9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lastRenderedPageBreak/>
        <w:t>Не смотря на рост цен в России, в Казахстане рост цен на ГСМ не ожидается, так как пока на нефтебазах есть достаточные запасы</w:t>
      </w:r>
      <w:r w:rsidRPr="00B323F9">
        <w:rPr>
          <w:rFonts w:ascii="Tahoma" w:eastAsia="Calibri" w:hAnsi="Tahoma" w:cs="Tahoma"/>
          <w:sz w:val="18"/>
          <w:szCs w:val="18"/>
          <w:lang w:eastAsia="en-US"/>
        </w:rPr>
        <w:t>.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  <w:lang w:eastAsia="en-US"/>
        </w:rPr>
        <w:t>Н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ефтепереработчики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на условиях анонимности, продолжая тему с загрузкой отечестве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ных нефтебаз. «Рост цен на нефтепродукты на 30%  в соседней России позволил нам решить проблему с затовар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ванием нефтебаз. Причем, разгрузка идет стремительными темпами в последние два – три дня», - сообщили соб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седники. По их информации, кроме роста цен в России на ГСМ, разгрузке казахстанских НПЗ способствует тот факт, что в настоящее время три российских НПЗ, расположенные в соседних с Казахстаном регионах России закрылись на капитальные плановые ремонты. «Поэтому поставки высокооктанового бензина из России  пока прекрат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лись. Все, поступившие ранее на казахстанский рынок излишки запрещенного  в России евро – 2, </w:t>
      </w:r>
      <w:proofErr w:type="gramStart"/>
      <w:r w:rsidRPr="00EF1925">
        <w:rPr>
          <w:rFonts w:ascii="Tahoma" w:eastAsia="Calibri" w:hAnsi="Tahoma" w:cs="Tahoma"/>
          <w:sz w:val="18"/>
          <w:szCs w:val="18"/>
          <w:lang w:eastAsia="en-US"/>
        </w:rPr>
        <w:t>закончились</w:t>
      </w:r>
      <w:proofErr w:type="gram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а потому стали «распечатываться» казахстанские нефтепродукты, хранящиеся на наших нефтебазах», - отметили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нефтеперерабо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т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чики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>. По их информации, сейчас ГСМ казахстанского производства поступают на внутренний рынок республики. «Созданных запасов хватит для отечественного рынка месяца на два в связи с этим, роста цен на ГСМ в ближайшие два месяца не ожидается», - сообщили собеседники.</w:t>
      </w:r>
    </w:p>
    <w:p w:rsidR="00F22B8F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В Кыргызстане повысились цены на бензин</w:t>
      </w:r>
    </w:p>
    <w:p w:rsidR="00F22B8F" w:rsidRPr="00EF1925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>На севере Кыргызстана повысились цены на бензин, сообщает северное межрегиональное управление м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и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нистерства экономики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Кыргыстана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в пятницу. «В Чуйской области бензин А-92 подорожал на 0,8 сома, в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Иссык-Кульской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области на 0,6 сома,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Нарынской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области на 0,3 сома,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Таласской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области на 0,6 сома, в Бишкеке на 0,6 с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ма. В среднем цена бензин марки А-92 по северному региону колеблется от 35,7 до  36,9 сома за литр», - сообщается в анализе средних рыночных цен на продовольственную продукцию и ГСМ за период 22-29 августа 2013 года. Опт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о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во-розничные цены на муку остались без изменений. Например, 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ОсОО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«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Акун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>» продает муку по цене 21,7 сом/</w:t>
      </w:r>
      <w:proofErr w:type="gramStart"/>
      <w:r w:rsidRPr="00EF1925">
        <w:rPr>
          <w:rFonts w:ascii="Tahoma" w:eastAsia="Calibri" w:hAnsi="Tahoma" w:cs="Tahoma"/>
          <w:sz w:val="18"/>
          <w:szCs w:val="18"/>
          <w:lang w:eastAsia="en-US"/>
        </w:rPr>
        <w:t>кг</w:t>
      </w:r>
      <w:proofErr w:type="gram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, у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ОсОО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«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Эльнур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» мука стоит 21 сом,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ОсОО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«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Яшар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>» по 22,5 сома/кг. Цены на мясо на севере Кыргызстана остались без изменений. Цены на говядину колеблются  от 270 до 385 сомов/</w:t>
      </w:r>
      <w:proofErr w:type="gramStart"/>
      <w:r w:rsidRPr="00EF1925">
        <w:rPr>
          <w:rFonts w:ascii="Tahoma" w:eastAsia="Calibri" w:hAnsi="Tahoma" w:cs="Tahoma"/>
          <w:sz w:val="18"/>
          <w:szCs w:val="18"/>
          <w:lang w:eastAsia="en-US"/>
        </w:rPr>
        <w:t>кг</w:t>
      </w:r>
      <w:proofErr w:type="gram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. Сахар-песок в </w:t>
      </w:r>
      <w:proofErr w:type="spellStart"/>
      <w:r w:rsidRPr="00EF1925">
        <w:rPr>
          <w:rFonts w:ascii="Tahoma" w:eastAsia="Calibri" w:hAnsi="Tahoma" w:cs="Tahoma"/>
          <w:sz w:val="18"/>
          <w:szCs w:val="18"/>
          <w:lang w:eastAsia="en-US"/>
        </w:rPr>
        <w:t>Токмоке</w:t>
      </w:r>
      <w:proofErr w:type="spell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подорожал на 5 сомов, в </w:t>
      </w:r>
      <w:proofErr w:type="spellStart"/>
      <w:proofErr w:type="gramStart"/>
      <w:r w:rsidRPr="00EF1925">
        <w:rPr>
          <w:rFonts w:ascii="Tahoma" w:eastAsia="Calibri" w:hAnsi="Tahoma" w:cs="Tahoma"/>
          <w:sz w:val="18"/>
          <w:szCs w:val="18"/>
          <w:lang w:eastAsia="en-US"/>
        </w:rPr>
        <w:t>Кара-Балте</w:t>
      </w:r>
      <w:proofErr w:type="spellEnd"/>
      <w:proofErr w:type="gramEnd"/>
      <w:r w:rsidRPr="00EF1925">
        <w:rPr>
          <w:rFonts w:ascii="Tahoma" w:eastAsia="Calibri" w:hAnsi="Tahoma" w:cs="Tahoma"/>
          <w:sz w:val="18"/>
          <w:szCs w:val="18"/>
          <w:lang w:eastAsia="en-US"/>
        </w:rPr>
        <w:t xml:space="preserve"> на 3 сома, в Нарыне сахар подешевел на 1 сом. В целом сахар-песок по северу Кыргызстана можно к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у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пить  в среднем за 44-50 сомов. Цены на растительное масло остались без изменений и составляют 90-110 сомов.</w:t>
      </w:r>
    </w:p>
    <w:p w:rsidR="00F22B8F" w:rsidRPr="00EF1925" w:rsidRDefault="00F22B8F" w:rsidP="00F22B8F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Цены на бензин в Армении в августе выросли на 0,1%</w:t>
      </w:r>
    </w:p>
    <w:p w:rsidR="00F22B8F" w:rsidRDefault="00F22B8F" w:rsidP="00F22B8F">
      <w:pPr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sz w:val="18"/>
          <w:szCs w:val="18"/>
          <w:lang w:eastAsia="en-US"/>
        </w:rPr>
        <w:t>Цены на бензин и дизельное топливо в Армении в августе текущего года по сравнению с июлем выросли на 0,1%, а цены на дизельное топливо остались без изменений, сообщает Национальная статистическая служба Арм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нии.  В то же время согласно полученной информации, в августе текущего года цены на бензин и дизельное топливо выросли по сравнению августом 2012 года на 0,5% и 2,7%, соответственно. Цены на бензин в августе нынешнего года по сравнению с декабрем 2012 года сократились на 2%, а дизельное топливо подорожало на 0,4%. Цены на непродовольственные товары в августе по сравнению с тем же периодом 2012 года выросли на 4,3%, а по сравн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EF1925">
        <w:rPr>
          <w:rFonts w:ascii="Tahoma" w:eastAsia="Calibri" w:hAnsi="Tahoma" w:cs="Tahoma"/>
          <w:sz w:val="18"/>
          <w:szCs w:val="18"/>
          <w:lang w:eastAsia="en-US"/>
        </w:rPr>
        <w:t>нию с июлем текущего года на 0,1%.</w:t>
      </w:r>
    </w:p>
    <w:p w:rsidR="00F22B8F" w:rsidRDefault="00F22B8F" w:rsidP="00F22B8F">
      <w:pPr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</w:p>
    <w:p w:rsidR="00F22B8F" w:rsidRPr="00294585" w:rsidRDefault="00F22B8F" w:rsidP="00F22B8F">
      <w:pPr>
        <w:jc w:val="both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294585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Цены на ГСМ в Краснодарском крае и </w:t>
      </w:r>
      <w:proofErr w:type="gramStart"/>
      <w:r w:rsidRPr="00294585">
        <w:rPr>
          <w:rFonts w:ascii="Tahoma" w:eastAsia="Calibri" w:hAnsi="Tahoma" w:cs="Tahoma"/>
          <w:b/>
          <w:i/>
          <w:sz w:val="18"/>
          <w:szCs w:val="18"/>
          <w:lang w:eastAsia="en-US"/>
        </w:rPr>
        <w:t>г</w:t>
      </w:r>
      <w:proofErr w:type="gramEnd"/>
      <w:r w:rsidRPr="00294585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Краснодаре:</w:t>
      </w:r>
    </w:p>
    <w:p w:rsidR="00F22B8F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2B8F" w:rsidRPr="00EF1925" w:rsidRDefault="00F22B8F" w:rsidP="00F22B8F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sz w:val="18"/>
          <w:szCs w:val="18"/>
          <w:lang w:eastAsia="en-US"/>
        </w:rPr>
        <w:t>Кубанские НПЗ строят планы</w:t>
      </w:r>
    </w:p>
    <w:p w:rsidR="00F22B8F" w:rsidRPr="00652064" w:rsidRDefault="00F22B8F" w:rsidP="00F22B8F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652064">
        <w:rPr>
          <w:rFonts w:ascii="Tahoma" w:eastAsia="Calibri" w:hAnsi="Tahoma" w:cs="Tahoma"/>
          <w:sz w:val="18"/>
          <w:szCs w:val="18"/>
          <w:lang w:eastAsia="en-US"/>
        </w:rPr>
        <w:t>С 1 января 2013 г. в России нельзя продавать топливо класса Евро–2. В скором времени и более «чистое» топливо стандарта Евро–3 станет историей. Все нефтеперерабатывающие заводы России вынуждены «обновляться», и к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у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банские — не исключение. В 2011 г. в России принята программа по обязательной модернизации нефтеперерабат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ы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вающих мощностей и вводу новых мощностей вторичной переработки нефти, рассчитанная до 2020 г. Эта мера об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у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словлена тем, что большинство нефтеперерабатывающих заводов были построены в середине прошлого века, а н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е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которые еще раньше. С тех пор многие из этих предприятий не проводили должной модернизации, и сейчас их те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х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ническое состояние не отвечает современным нормам. По оценкам экспертов, сегодня средняя глубина переработки нефти на большинстве заводов страны составляет от 69% до 88% (для сравнения, в Европе и США — 90–95%). В программе отмечается, что в период 2011–2015 гг. нефтяные компании планируют инвестировать в реконструкцию своих заводов около 1 трлн. рублей. Согласно Техническому регламенту, принятому еще ранее, в 2008 г., с 1 января 2013 г. в России из оборота должно быть выведено топливо класса Евро–2, с 1 января 2015 г. — Евро–3, еще через год — Евро–4. С 1 января 2016 г. разрешено использовать только топливо стандарта Евро–5. По данным Минэнерго, общий объем инвестиций нефтяных компаний в реконструкцию и строительство объектов нефтеперерабатывающих заводов в 2013 г. достигнет 262,158 млрд. рублей. Первые результаты Сегодня на территории Краснодарского края работает четыре нефтеперерабатывающих завода: ООО «РН — Туапсинский НПЗ», ООО «Афипский НПЗ», ООО «</w:t>
      </w:r>
      <w:proofErr w:type="spellStart"/>
      <w:r w:rsidRPr="00652064">
        <w:rPr>
          <w:rFonts w:ascii="Tahoma" w:eastAsia="Calibri" w:hAnsi="Tahoma" w:cs="Tahoma"/>
          <w:sz w:val="18"/>
          <w:szCs w:val="18"/>
          <w:lang w:eastAsia="en-US"/>
        </w:rPr>
        <w:t>Ильский</w:t>
      </w:r>
      <w:proofErr w:type="spellEnd"/>
      <w:r w:rsidRPr="00652064">
        <w:rPr>
          <w:rFonts w:ascii="Tahoma" w:eastAsia="Calibri" w:hAnsi="Tahoma" w:cs="Tahoma"/>
          <w:sz w:val="18"/>
          <w:szCs w:val="18"/>
          <w:lang w:eastAsia="en-US"/>
        </w:rPr>
        <w:t xml:space="preserve"> НПЗ» и ЗАО «КНПЗ — КЭН» (Краснодарский). На всех четырех НПЗ Краснодарского края реконструкция заводов уже началась. В планах — установка нового факела для попутного нефтяного газа, его заменят </w:t>
      </w:r>
      <w:proofErr w:type="gramStart"/>
      <w:r w:rsidRPr="00652064">
        <w:rPr>
          <w:rFonts w:ascii="Tahoma" w:eastAsia="Calibri" w:hAnsi="Tahoma" w:cs="Tahoma"/>
          <w:sz w:val="18"/>
          <w:szCs w:val="18"/>
          <w:lang w:eastAsia="en-US"/>
        </w:rPr>
        <w:t>на</w:t>
      </w:r>
      <w:proofErr w:type="gramEnd"/>
      <w:r w:rsidRPr="00652064">
        <w:rPr>
          <w:rFonts w:ascii="Tahoma" w:eastAsia="Calibri" w:hAnsi="Tahoma" w:cs="Tahoma"/>
          <w:sz w:val="18"/>
          <w:szCs w:val="18"/>
          <w:lang w:eastAsia="en-US"/>
        </w:rPr>
        <w:t xml:space="preserve"> новый, в котором нет открытого огня. Это поможет снизить выбросы в атмосферу. Недавно на заводе был введен новый сд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а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точный пункт (ПСП). До этого нефть на завод поступала через старый ПСП, который позволял пропускать лишь о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г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 xml:space="preserve">раниченное количество нефти. После установки нового агрегата объемы перекачиваемой нефти вырастут. Кроме того, планируется увеличить мощность НПЗ (на сколько, не уточняется) и удвоить количество рабочих мест. В ЗАО «Краснодарский нефтеперерабатывающий завод — </w:t>
      </w:r>
      <w:proofErr w:type="spellStart"/>
      <w:r w:rsidRPr="00652064">
        <w:rPr>
          <w:rFonts w:ascii="Tahoma" w:eastAsia="Calibri" w:hAnsi="Tahoma" w:cs="Tahoma"/>
          <w:sz w:val="18"/>
          <w:szCs w:val="18"/>
          <w:lang w:eastAsia="en-US"/>
        </w:rPr>
        <w:t>Краснодарэконефть</w:t>
      </w:r>
      <w:proofErr w:type="spellEnd"/>
      <w:r w:rsidRPr="00652064">
        <w:rPr>
          <w:rFonts w:ascii="Tahoma" w:eastAsia="Calibri" w:hAnsi="Tahoma" w:cs="Tahoma"/>
          <w:sz w:val="18"/>
          <w:szCs w:val="18"/>
          <w:lang w:eastAsia="en-US"/>
        </w:rPr>
        <w:t xml:space="preserve">» (был построен в 1911 г., мощность — 3 млн. т нефти в год) рассказали, что на предприятии также запущена программа модернизации: уже отведен земельный участок под новую установку и разработано экономическое обоснование проекта. На </w:t>
      </w:r>
      <w:proofErr w:type="spellStart"/>
      <w:r w:rsidRPr="00652064">
        <w:rPr>
          <w:rFonts w:ascii="Tahoma" w:eastAsia="Calibri" w:hAnsi="Tahoma" w:cs="Tahoma"/>
          <w:sz w:val="18"/>
          <w:szCs w:val="18"/>
          <w:lang w:eastAsia="en-US"/>
        </w:rPr>
        <w:t>Ильском</w:t>
      </w:r>
      <w:proofErr w:type="spellEnd"/>
      <w:r w:rsidRPr="00652064">
        <w:rPr>
          <w:rFonts w:ascii="Tahoma" w:eastAsia="Calibri" w:hAnsi="Tahoma" w:cs="Tahoma"/>
          <w:sz w:val="18"/>
          <w:szCs w:val="18"/>
          <w:lang w:eastAsia="en-US"/>
        </w:rPr>
        <w:t xml:space="preserve"> НПЗ (входит в состав «Кубанской нефтегазовой компании», был основан в 1998 г.) масштабная реконструкция стартовала в прошлом году. В планах компании — увеличить мощность завода по нефтяному сырью до 3 млн. т в год к 2015?г., а качество 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lastRenderedPageBreak/>
        <w:t>то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п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лива — до уровня Евро–4 и Евро–5. Туапсинский НПЗ (был запущен в 1929 г.) входит в состав ОАО «НК «Роснефть», которая обещает закончить модернизацию завода в 2014 г. В компании считают, что после этих мероприятий пре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д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 xml:space="preserve">приятие станет крупнейшим в Европе по глубокой переработке нефти, мощность завода вырастет с 5 до 12 </w:t>
      </w:r>
      <w:proofErr w:type="spellStart"/>
      <w:r w:rsidRPr="00652064">
        <w:rPr>
          <w:rFonts w:ascii="Tahoma" w:eastAsia="Calibri" w:hAnsi="Tahoma" w:cs="Tahoma"/>
          <w:sz w:val="18"/>
          <w:szCs w:val="18"/>
          <w:lang w:eastAsia="en-US"/>
        </w:rPr>
        <w:t>млн</w:t>
      </w:r>
      <w:proofErr w:type="spellEnd"/>
      <w:r w:rsidRPr="00652064">
        <w:rPr>
          <w:rFonts w:ascii="Tahoma" w:eastAsia="Calibri" w:hAnsi="Tahoma" w:cs="Tahoma"/>
          <w:sz w:val="18"/>
          <w:szCs w:val="18"/>
          <w:lang w:eastAsia="en-US"/>
        </w:rPr>
        <w:t xml:space="preserve"> т в год, глубина переработки нефти — с 54% до 96,5%. Никаких поблажек</w:t>
      </w:r>
      <w:proofErr w:type="gramStart"/>
      <w:r w:rsidRPr="00652064">
        <w:rPr>
          <w:rFonts w:ascii="Tahoma" w:eastAsia="Calibri" w:hAnsi="Tahoma" w:cs="Tahoma"/>
          <w:sz w:val="18"/>
          <w:szCs w:val="18"/>
          <w:lang w:eastAsia="en-US"/>
        </w:rPr>
        <w:t xml:space="preserve"> В</w:t>
      </w:r>
      <w:proofErr w:type="gramEnd"/>
      <w:r w:rsidRPr="00652064">
        <w:rPr>
          <w:rFonts w:ascii="Tahoma" w:eastAsia="Calibri" w:hAnsi="Tahoma" w:cs="Tahoma"/>
          <w:sz w:val="18"/>
          <w:szCs w:val="18"/>
          <w:lang w:eastAsia="en-US"/>
        </w:rPr>
        <w:t xml:space="preserve"> России уже несколько раз переносились сроки ввода новых экологических классов. Причиной послужило то, что заводы не успевали провести реконстру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к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цию. Первоначально планировалось, что бензин класса Евро–2 можно будет производить только до 31 декабря 2008 г., а с 1 января 2013 на всех НПЗ должен был производиться только бензин стандарта Евро–4. Больше переносить сроки не планируется. Уже сейчас действует запрет на производство бензина класса Евро–2. По словам экспертов, если к следующему сроку НПЗ не успеют провести реконструкцию, то им придется прекратить выпуск топлива до приведения продукции в соответствие с нормативами. Специалисты нефтяной отрасли отмечают, что сейчас лучше всего дела с переходом на современные стандарты обстоят у «</w:t>
      </w:r>
      <w:proofErr w:type="spellStart"/>
      <w:r w:rsidRPr="00652064">
        <w:rPr>
          <w:rFonts w:ascii="Tahoma" w:eastAsia="Calibri" w:hAnsi="Tahoma" w:cs="Tahoma"/>
          <w:sz w:val="18"/>
          <w:szCs w:val="18"/>
          <w:lang w:eastAsia="en-US"/>
        </w:rPr>
        <w:t>ЛУКОЙЛа</w:t>
      </w:r>
      <w:proofErr w:type="spellEnd"/>
      <w:r w:rsidRPr="00652064">
        <w:rPr>
          <w:rFonts w:ascii="Tahoma" w:eastAsia="Calibri" w:hAnsi="Tahoma" w:cs="Tahoma"/>
          <w:sz w:val="18"/>
          <w:szCs w:val="18"/>
          <w:lang w:eastAsia="en-US"/>
        </w:rPr>
        <w:t>» (полностью перешел на выпуск топлива Евро–5 с июля 2012 .) и «</w:t>
      </w:r>
      <w:proofErr w:type="spellStart"/>
      <w:r w:rsidRPr="00652064">
        <w:rPr>
          <w:rFonts w:ascii="Tahoma" w:eastAsia="Calibri" w:hAnsi="Tahoma" w:cs="Tahoma"/>
          <w:sz w:val="18"/>
          <w:szCs w:val="18"/>
          <w:lang w:eastAsia="en-US"/>
        </w:rPr>
        <w:t>Башнефти</w:t>
      </w:r>
      <w:proofErr w:type="spellEnd"/>
      <w:r w:rsidRPr="00652064">
        <w:rPr>
          <w:rFonts w:ascii="Tahoma" w:eastAsia="Calibri" w:hAnsi="Tahoma" w:cs="Tahoma"/>
          <w:sz w:val="18"/>
          <w:szCs w:val="18"/>
          <w:lang w:eastAsia="en-US"/>
        </w:rPr>
        <w:t>», на АЗС которой можно также найти топливо только пятого класса. В срок пл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а</w:t>
      </w:r>
      <w:r w:rsidRPr="00652064">
        <w:rPr>
          <w:rFonts w:ascii="Tahoma" w:eastAsia="Calibri" w:hAnsi="Tahoma" w:cs="Tahoma"/>
          <w:sz w:val="18"/>
          <w:szCs w:val="18"/>
          <w:lang w:eastAsia="en-US"/>
        </w:rPr>
        <w:t>нируют закончить модернизацию и довести свою продукцию до пятого класса такие компании, как «</w:t>
      </w:r>
      <w:proofErr w:type="spellStart"/>
      <w:r w:rsidRPr="00652064">
        <w:rPr>
          <w:rFonts w:ascii="Tahoma" w:eastAsia="Calibri" w:hAnsi="Tahoma" w:cs="Tahoma"/>
          <w:sz w:val="18"/>
          <w:szCs w:val="18"/>
          <w:lang w:eastAsia="en-US"/>
        </w:rPr>
        <w:t>Татнефть</w:t>
      </w:r>
      <w:proofErr w:type="spellEnd"/>
      <w:r w:rsidRPr="00652064">
        <w:rPr>
          <w:rFonts w:ascii="Tahoma" w:eastAsia="Calibri" w:hAnsi="Tahoma" w:cs="Tahoma"/>
          <w:sz w:val="18"/>
          <w:szCs w:val="18"/>
          <w:lang w:eastAsia="en-US"/>
        </w:rPr>
        <w:t>», «</w:t>
      </w:r>
      <w:proofErr w:type="spellStart"/>
      <w:r w:rsidRPr="00652064">
        <w:rPr>
          <w:rFonts w:ascii="Tahoma" w:eastAsia="Calibri" w:hAnsi="Tahoma" w:cs="Tahoma"/>
          <w:sz w:val="18"/>
          <w:szCs w:val="18"/>
          <w:lang w:eastAsia="en-US"/>
        </w:rPr>
        <w:t>Газпромнефть</w:t>
      </w:r>
      <w:proofErr w:type="spellEnd"/>
      <w:r w:rsidRPr="00652064">
        <w:rPr>
          <w:rFonts w:ascii="Tahoma" w:eastAsia="Calibri" w:hAnsi="Tahoma" w:cs="Tahoma"/>
          <w:sz w:val="18"/>
          <w:szCs w:val="18"/>
          <w:lang w:eastAsia="en-US"/>
        </w:rPr>
        <w:t>» и «</w:t>
      </w:r>
      <w:proofErr w:type="spellStart"/>
      <w:r w:rsidRPr="00652064">
        <w:rPr>
          <w:rFonts w:ascii="Tahoma" w:eastAsia="Calibri" w:hAnsi="Tahoma" w:cs="Tahoma"/>
          <w:sz w:val="18"/>
          <w:szCs w:val="18"/>
          <w:lang w:eastAsia="en-US"/>
        </w:rPr>
        <w:t>Сургутнефтегаз</w:t>
      </w:r>
      <w:proofErr w:type="spellEnd"/>
      <w:r w:rsidRPr="00652064">
        <w:rPr>
          <w:rFonts w:ascii="Tahoma" w:eastAsia="Calibri" w:hAnsi="Tahoma" w:cs="Tahoma"/>
          <w:sz w:val="18"/>
          <w:szCs w:val="18"/>
          <w:lang w:eastAsia="en-US"/>
        </w:rPr>
        <w:t>». А вот «Роснефть» может испытывать с этим сложности, считают эксперты.</w:t>
      </w:r>
    </w:p>
    <w:p w:rsidR="00F22B8F" w:rsidRDefault="00F22B8F" w:rsidP="00F22B8F">
      <w:pPr>
        <w:jc w:val="center"/>
        <w:rPr>
          <w:rFonts w:ascii="Tahoma" w:eastAsia="Calibri" w:hAnsi="Tahoma" w:cs="Tahoma"/>
          <w:sz w:val="18"/>
          <w:szCs w:val="18"/>
          <w:lang w:eastAsia="en-US"/>
        </w:rPr>
      </w:pPr>
    </w:p>
    <w:p w:rsidR="00F22B8F" w:rsidRDefault="00F22B8F" w:rsidP="00F22B8F">
      <w:pPr>
        <w:jc w:val="center"/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  <w:r w:rsidRPr="00EF1925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Средние потребительские цены на бензин автомобильный и дизельное топливо в территориальных центрах ЮФО по состоянию на 1 сентября 2013 года (по данным </w:t>
      </w:r>
      <w:proofErr w:type="spellStart"/>
      <w:r w:rsidRPr="00EF1925">
        <w:rPr>
          <w:rFonts w:ascii="Tahoma" w:eastAsia="Calibri" w:hAnsi="Tahoma" w:cs="Tahoma"/>
          <w:b/>
          <w:bCs/>
          <w:sz w:val="18"/>
          <w:szCs w:val="18"/>
          <w:lang w:eastAsia="en-US"/>
        </w:rPr>
        <w:t>Краснодарстата</w:t>
      </w:r>
      <w:proofErr w:type="spellEnd"/>
      <w:r w:rsidRPr="00EF1925">
        <w:rPr>
          <w:rFonts w:ascii="Tahoma" w:eastAsia="Calibri" w:hAnsi="Tahoma" w:cs="Tahoma"/>
          <w:b/>
          <w:bCs/>
          <w:sz w:val="18"/>
          <w:szCs w:val="18"/>
          <w:lang w:eastAsia="en-US"/>
        </w:rPr>
        <w:t>)</w:t>
      </w:r>
    </w:p>
    <w:p w:rsidR="00F22B8F" w:rsidRPr="00EF1925" w:rsidRDefault="00F22B8F" w:rsidP="00F22B8F">
      <w:pPr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22B8F" w:rsidRPr="00EF1925" w:rsidTr="00EF0AEA">
        <w:trPr>
          <w:trHeight w:val="355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Краснодар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Майкоп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Элиста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Астрахань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Волгоград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Ростов</w:t>
            </w:r>
          </w:p>
        </w:tc>
      </w:tr>
      <w:tr w:rsidR="00F22B8F" w:rsidRPr="00EF1925" w:rsidTr="00EF0AEA">
        <w:trPr>
          <w:trHeight w:val="515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val="en-US" w:eastAsia="en-US"/>
              </w:rPr>
              <w:t xml:space="preserve">2 </w:t>
            </w: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сентября</w:t>
            </w:r>
          </w:p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2013 г</w:t>
            </w:r>
          </w:p>
        </w:tc>
        <w:tc>
          <w:tcPr>
            <w:tcW w:w="8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22B8F" w:rsidRPr="00EF1925" w:rsidTr="00EF0AEA">
        <w:trPr>
          <w:trHeight w:hRule="exact" w:val="34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АИ-92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29,67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28,88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28,63</w:t>
            </w:r>
          </w:p>
        </w:tc>
      </w:tr>
      <w:tr w:rsidR="00F22B8F" w:rsidRPr="00EF1925" w:rsidTr="00EF0AEA">
        <w:trPr>
          <w:trHeight w:hRule="exact" w:val="34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АИ-95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32,61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32,43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32,34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32,19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31,87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31,89</w:t>
            </w:r>
          </w:p>
        </w:tc>
      </w:tr>
      <w:tr w:rsidR="00F22B8F" w:rsidRPr="00EF1925" w:rsidTr="00EF0AEA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Дизельное топливо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30,02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29,77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29,37</w:t>
            </w:r>
          </w:p>
        </w:tc>
      </w:tr>
      <w:tr w:rsidR="00F22B8F" w:rsidRPr="00EF1925" w:rsidTr="00EF0AEA">
        <w:trPr>
          <w:trHeight w:val="3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9 сентября 2013 г</w:t>
            </w:r>
          </w:p>
        </w:tc>
        <w:tc>
          <w:tcPr>
            <w:tcW w:w="8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F" w:rsidRPr="00EF1925" w:rsidRDefault="00F22B8F" w:rsidP="00EF0AEA">
            <w:pPr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n-US"/>
              </w:rPr>
            </w:pPr>
          </w:p>
        </w:tc>
      </w:tr>
      <w:tr w:rsidR="00F22B8F" w:rsidRPr="00EF1925" w:rsidTr="00EF0AEA">
        <w:trPr>
          <w:trHeight w:hRule="exact" w:val="34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АИ-92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29,68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28,93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28,83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28,91</w:t>
            </w:r>
          </w:p>
        </w:tc>
      </w:tr>
      <w:tr w:rsidR="00F22B8F" w:rsidRPr="00EF1925" w:rsidTr="00EF0AEA">
        <w:trPr>
          <w:trHeight w:hRule="exact" w:val="34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АИ-95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spacing w:line="70" w:lineRule="atLeast"/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32,76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spacing w:line="70" w:lineRule="atLeast"/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32,43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spacing w:line="70" w:lineRule="atLeast"/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32,34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spacing w:line="70" w:lineRule="atLeast"/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32,34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spacing w:line="70" w:lineRule="atLeast"/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31,94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spacing w:line="70" w:lineRule="atLeast"/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32,17</w:t>
            </w:r>
          </w:p>
        </w:tc>
      </w:tr>
      <w:tr w:rsidR="00F22B8F" w:rsidRPr="00EF1925" w:rsidTr="00EF0AEA">
        <w:trPr>
          <w:trHeight w:val="2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22B8F" w:rsidRPr="00EF1925" w:rsidRDefault="00F22B8F" w:rsidP="00EF0AEA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  <w:r w:rsidRPr="00EF1925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Дизельное топливо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29,98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29,77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B8F" w:rsidRPr="00EF1925" w:rsidRDefault="00F22B8F" w:rsidP="00EF0AEA">
            <w:pPr>
              <w:ind w:right="22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F192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29,44</w:t>
            </w:r>
          </w:p>
        </w:tc>
      </w:tr>
    </w:tbl>
    <w:p w:rsidR="00F22B8F" w:rsidRPr="00EF1925" w:rsidRDefault="00F22B8F" w:rsidP="00F22B8F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F22B8F" w:rsidRDefault="00F22B8F" w:rsidP="00F22B8F">
      <w:pPr>
        <w:jc w:val="center"/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762625" cy="2371725"/>
            <wp:effectExtent l="1905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8F" w:rsidRDefault="00F22B8F" w:rsidP="00F22B8F"/>
    <w:p w:rsidR="00F22B8F" w:rsidRDefault="00F22B8F" w:rsidP="00F22B8F">
      <w:pPr>
        <w:jc w:val="center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810250" cy="2543175"/>
            <wp:effectExtent l="1905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8F" w:rsidRDefault="00F22B8F" w:rsidP="00F22B8F">
      <w:pPr>
        <w:rPr>
          <w:rFonts w:ascii="Tahoma" w:eastAsia="Calibri" w:hAnsi="Tahoma" w:cs="Tahoma"/>
          <w:b/>
          <w:i/>
          <w:sz w:val="18"/>
          <w:szCs w:val="18"/>
          <w:lang w:eastAsia="en-US"/>
        </w:rPr>
      </w:pPr>
    </w:p>
    <w:p w:rsidR="0072324F" w:rsidRDefault="0072324F"/>
    <w:sectPr w:rsidR="0072324F" w:rsidSect="0072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DC7"/>
    <w:multiLevelType w:val="hybridMultilevel"/>
    <w:tmpl w:val="FA5E89D8"/>
    <w:lvl w:ilvl="0" w:tplc="A9361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8F"/>
    <w:rsid w:val="0072324F"/>
    <w:rsid w:val="00F2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F22B8F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F22B8F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22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3753</Words>
  <Characters>21395</Characters>
  <Application>Microsoft Office Word</Application>
  <DocSecurity>0</DocSecurity>
  <Lines>178</Lines>
  <Paragraphs>50</Paragraphs>
  <ScaleCrop>false</ScaleCrop>
  <Company/>
  <LinksUpToDate>false</LinksUpToDate>
  <CharactersWithSpaces>25098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2013-09-16T07:26:00Z</dcterms:created>
  <dcterms:modified xsi:type="dcterms:W3CDTF">2013-09-16T07:26:00Z</dcterms:modified>
</cp:coreProperties>
</file>