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B5" w:rsidRPr="000358D0" w:rsidRDefault="001456B5" w:rsidP="001456B5">
      <w:pPr>
        <w:pStyle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"garantF1://36808903.0" </w:instrText>
      </w:r>
      <w:r>
        <w:fldChar w:fldCharType="separate"/>
      </w:r>
      <w:r w:rsidRPr="000358D0">
        <w:rPr>
          <w:rStyle w:val="a4"/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и перерабатывающей промышленности Краснодарского края </w:t>
      </w:r>
      <w:r w:rsidRPr="000358D0">
        <w:rPr>
          <w:rStyle w:val="a4"/>
          <w:rFonts w:ascii="Times New Roman" w:hAnsi="Times New Roman" w:cs="Times New Roman"/>
          <w:sz w:val="28"/>
          <w:szCs w:val="28"/>
        </w:rPr>
        <w:br/>
        <w:t xml:space="preserve">от 1 июня 2015 г. N 162 </w:t>
      </w:r>
      <w:r w:rsidRPr="000358D0">
        <w:rPr>
          <w:rStyle w:val="a4"/>
          <w:rFonts w:ascii="Times New Roman" w:hAnsi="Times New Roman" w:cs="Times New Roman"/>
          <w:sz w:val="28"/>
          <w:szCs w:val="28"/>
        </w:rPr>
        <w:br/>
        <w:t>"Об утверждении ставок субсидий на поддержку племенного животноводства"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58D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31 марта 2014 года N 249 "Об утверждении порядка предоставления субсидий на условиях </w:t>
      </w:r>
      <w:proofErr w:type="spellStart"/>
      <w:r w:rsidRPr="000358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58D0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на осуществление государственной поддержки сельскохозяйственного производства" в части предоставления субсидий на поддержку племенного животноводства приказываю: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 xml:space="preserve">1. Установить на 2015 год </w:t>
      </w:r>
      <w:hyperlink w:anchor="sub_1000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ставки</w:t>
        </w:r>
      </w:hyperlink>
      <w:r w:rsidRPr="000358D0">
        <w:rPr>
          <w:rFonts w:ascii="Times New Roman" w:hAnsi="Times New Roman" w:cs="Times New Roman"/>
          <w:sz w:val="28"/>
          <w:szCs w:val="28"/>
        </w:rPr>
        <w:t xml:space="preserve"> субсидий на поддержку племенного животноводства (прилагается).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>2. Управлению организационной работы и делопроизводства (</w:t>
      </w:r>
      <w:proofErr w:type="spellStart"/>
      <w:r w:rsidRPr="000358D0">
        <w:rPr>
          <w:rFonts w:ascii="Times New Roman" w:hAnsi="Times New Roman" w:cs="Times New Roman"/>
          <w:sz w:val="28"/>
          <w:szCs w:val="28"/>
        </w:rPr>
        <w:t>Балясный</w:t>
      </w:r>
      <w:proofErr w:type="spellEnd"/>
      <w:r w:rsidRPr="000358D0">
        <w:rPr>
          <w:rFonts w:ascii="Times New Roman" w:hAnsi="Times New Roman" w:cs="Times New Roman"/>
          <w:sz w:val="28"/>
          <w:szCs w:val="28"/>
        </w:rPr>
        <w:t>) обеспечить размещение (</w:t>
      </w:r>
      <w:hyperlink r:id="rId5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0358D0">
        <w:rPr>
          <w:rFonts w:ascii="Times New Roman" w:hAnsi="Times New Roman" w:cs="Times New Roman"/>
          <w:sz w:val="28"/>
          <w:szCs w:val="28"/>
        </w:rPr>
        <w:t xml:space="preserve">) настоящего приказа на </w:t>
      </w:r>
      <w:hyperlink r:id="rId6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0358D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перерабатывающей промышленности Краснодарского края в информационно-телекоммуникационной сети "Интернет".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возложить на заместителя министра сельского хозяйства и перерабатывающей промышленности Краснодарского края В.Г. </w:t>
      </w:r>
      <w:proofErr w:type="spellStart"/>
      <w:r w:rsidRPr="000358D0">
        <w:rPr>
          <w:rFonts w:ascii="Times New Roman" w:hAnsi="Times New Roman" w:cs="Times New Roman"/>
          <w:sz w:val="28"/>
          <w:szCs w:val="28"/>
        </w:rPr>
        <w:t>Прокопца</w:t>
      </w:r>
      <w:proofErr w:type="spellEnd"/>
      <w:r w:rsidRPr="000358D0">
        <w:rPr>
          <w:rFonts w:ascii="Times New Roman" w:hAnsi="Times New Roman" w:cs="Times New Roman"/>
          <w:sz w:val="28"/>
          <w:szCs w:val="28"/>
        </w:rPr>
        <w:t>.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подписания.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4"/>
        <w:gridCol w:w="3133"/>
      </w:tblGrid>
      <w:tr w:rsidR="001456B5" w:rsidRPr="000358D0" w:rsidTr="00A879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(губернатора) Краснодарского края,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министр сельского хозяйства и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промышленности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456B5" w:rsidRPr="000358D0" w:rsidRDefault="001456B5" w:rsidP="00A8794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А.Н. Коробка</w:t>
            </w:r>
          </w:p>
        </w:tc>
      </w:tr>
    </w:tbl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p w:rsidR="001456B5" w:rsidRPr="000358D0" w:rsidRDefault="001456B5" w:rsidP="001456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358D0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  <w:r w:rsidRPr="000358D0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0358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58D0">
        <w:rPr>
          <w:rStyle w:val="a3"/>
          <w:rFonts w:ascii="Times New Roman" w:hAnsi="Times New Roman" w:cs="Times New Roman"/>
          <w:sz w:val="28"/>
          <w:szCs w:val="28"/>
        </w:rPr>
        <w:br/>
        <w:t xml:space="preserve">министерства сельского </w:t>
      </w:r>
      <w:r w:rsidRPr="000358D0">
        <w:rPr>
          <w:rStyle w:val="a3"/>
          <w:rFonts w:ascii="Times New Roman" w:hAnsi="Times New Roman" w:cs="Times New Roman"/>
          <w:sz w:val="28"/>
          <w:szCs w:val="28"/>
        </w:rPr>
        <w:br/>
        <w:t xml:space="preserve">хозяйства и перерабатывающей </w:t>
      </w:r>
      <w:r w:rsidRPr="000358D0">
        <w:rPr>
          <w:rStyle w:val="a3"/>
          <w:rFonts w:ascii="Times New Roman" w:hAnsi="Times New Roman" w:cs="Times New Roman"/>
          <w:sz w:val="28"/>
          <w:szCs w:val="28"/>
        </w:rPr>
        <w:br/>
        <w:t xml:space="preserve">промышленности Краснодарского края </w:t>
      </w:r>
      <w:r w:rsidRPr="000358D0">
        <w:rPr>
          <w:rStyle w:val="a3"/>
          <w:rFonts w:ascii="Times New Roman" w:hAnsi="Times New Roman" w:cs="Times New Roman"/>
          <w:sz w:val="28"/>
          <w:szCs w:val="28"/>
        </w:rPr>
        <w:br/>
        <w:t>от 1 июня 2015 г. N 162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p w:rsidR="001456B5" w:rsidRPr="000358D0" w:rsidRDefault="001456B5" w:rsidP="001456B5">
      <w:pPr>
        <w:pStyle w:val="1"/>
        <w:rPr>
          <w:rFonts w:ascii="Times New Roman" w:hAnsi="Times New Roman" w:cs="Times New Roman"/>
          <w:sz w:val="28"/>
          <w:szCs w:val="28"/>
        </w:rPr>
      </w:pPr>
      <w:r w:rsidRPr="000358D0">
        <w:rPr>
          <w:rFonts w:ascii="Times New Roman" w:hAnsi="Times New Roman" w:cs="Times New Roman"/>
          <w:sz w:val="28"/>
          <w:szCs w:val="28"/>
        </w:rPr>
        <w:t xml:space="preserve">Ставки </w:t>
      </w:r>
      <w:r w:rsidRPr="000358D0">
        <w:rPr>
          <w:rFonts w:ascii="Times New Roman" w:hAnsi="Times New Roman" w:cs="Times New Roman"/>
          <w:sz w:val="28"/>
          <w:szCs w:val="28"/>
        </w:rPr>
        <w:br/>
        <w:t>субсидий на поддержку племенного животноводства</w:t>
      </w: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520"/>
        <w:gridCol w:w="2100"/>
      </w:tblGrid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Ставка субсидии (</w:t>
            </w:r>
            <w:hyperlink w:anchor="sub_111" w:history="1">
              <w:r w:rsidRPr="000358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56B5" w:rsidRPr="000358D0" w:rsidTr="00A8794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 содержание племенного маточного поголовья сельскохозяйственных животных,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B5" w:rsidRPr="000358D0" w:rsidTr="00A8794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молочного направления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условная голова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</w:tr>
      <w:tr w:rsidR="001456B5" w:rsidRPr="000358D0" w:rsidTr="00A8794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 мясного направления</w:t>
            </w:r>
          </w:p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овцеводство</w:t>
            </w:r>
          </w:p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</w:p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условная голова условная голова условная голова условная голова условная голова условная голова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3752,7</w:t>
            </w: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 содержание племенных быков-производителей молочного направления старше 16 месяцев, проверенных по качеству потомства или находящихся в процессе оценки этого качества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180000,0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 содержание племенных быков-производителей мясного направления старше 16 месяцев, проверенных по качеству потомства или находящихся в процессе оценки этого качества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180000,0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(в том числе по импорту) племенных быков-производителей молочного направления, являющихся </w:t>
            </w:r>
            <w:proofErr w:type="spellStart"/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улучшателями</w:t>
            </w:r>
            <w:proofErr w:type="spellEnd"/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 по молочной продуктивности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 кг живой массы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(в том числе по импорту) племенных быков-производителей мясного направления, являющихся </w:t>
            </w:r>
            <w:proofErr w:type="spellStart"/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улучшателями</w:t>
            </w:r>
            <w:proofErr w:type="spellEnd"/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 по мясной продуктивности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 кг живой массы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семени племенных быков-производителей молочного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дозу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Приобретение семени племенных быков-производителей мясного направления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 дозу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Приобретение эмбрионов племенного крупного рогатого скота молочного направления, в том числе по импорту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 эмбрион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 приобретение племенного молодняка крупного рогатого скота молочного направления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 кг живой массы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1456B5" w:rsidRPr="000358D0" w:rsidTr="00A8794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На приобретение племенного молодняка крупного рогатого скота мясного направления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за 1 кг живой массы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B5" w:rsidRPr="000358D0" w:rsidRDefault="001456B5" w:rsidP="00A879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0358D0">
        <w:rPr>
          <w:rFonts w:ascii="Times New Roman" w:hAnsi="Times New Roman" w:cs="Times New Roman"/>
          <w:sz w:val="28"/>
          <w:szCs w:val="28"/>
        </w:rPr>
        <w:t xml:space="preserve">(*) Ставка субсидии за счет средств краевого бюджета (в том числе за счет средств, источником финансового обеспечения которых являются субсидии из федерального бюджета) определена исходя из условий </w:t>
      </w:r>
      <w:proofErr w:type="spellStart"/>
      <w:r w:rsidRPr="000358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58D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на поддержку племенного животноводства, источником финансового обеспечения которых являются субсидии из федерального бюджета, на 2015 год, утвержденных </w:t>
      </w:r>
      <w:hyperlink r:id="rId7" w:history="1">
        <w:r w:rsidRPr="000358D0">
          <w:rPr>
            <w:rStyle w:val="a4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358D0">
        <w:rPr>
          <w:rFonts w:ascii="Times New Roman" w:hAnsi="Times New Roman" w:cs="Times New Roman"/>
          <w:sz w:val="28"/>
          <w:szCs w:val="28"/>
        </w:rPr>
        <w:t xml:space="preserve"> Минсельхоза России от 29 января 2015 г. N 4-р.</w:t>
      </w:r>
    </w:p>
    <w:bookmarkEnd w:id="0"/>
    <w:p w:rsidR="001456B5" w:rsidRPr="000358D0" w:rsidRDefault="001456B5" w:rsidP="001456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2"/>
        <w:gridCol w:w="3145"/>
      </w:tblGrid>
      <w:tr w:rsidR="001456B5" w:rsidRPr="000358D0" w:rsidTr="00A879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56B5" w:rsidRPr="000358D0" w:rsidRDefault="001456B5" w:rsidP="00A879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сельского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и перерабатывающей </w:t>
            </w:r>
            <w:r w:rsidRPr="000358D0">
              <w:rPr>
                <w:rFonts w:ascii="Times New Roman" w:hAnsi="Times New Roman" w:cs="Times New Roman"/>
                <w:sz w:val="28"/>
                <w:szCs w:val="28"/>
              </w:rPr>
              <w:br/>
              <w:t>промышленности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456B5" w:rsidRPr="000358D0" w:rsidRDefault="001456B5" w:rsidP="00A8794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В.Г. </w:t>
            </w:r>
            <w:proofErr w:type="spellStart"/>
            <w:r w:rsidRPr="000358D0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</w:p>
        </w:tc>
      </w:tr>
    </w:tbl>
    <w:p w:rsidR="00D86BE6" w:rsidRDefault="001456B5">
      <w:bookmarkStart w:id="1" w:name="_GoBack"/>
      <w:bookmarkEnd w:id="1"/>
    </w:p>
    <w:sectPr w:rsidR="00D8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D0"/>
    <w:rsid w:val="001456B5"/>
    <w:rsid w:val="005258C7"/>
    <w:rsid w:val="007B5ED0"/>
    <w:rsid w:val="008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B20D-5DF5-4C0D-A481-23B8E1A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6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6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456B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456B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456B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456B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7655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971" TargetMode="External"/><Relationship Id="rId5" Type="http://schemas.openxmlformats.org/officeDocument/2006/relationships/hyperlink" Target="garantF1://36908903.0" TargetMode="External"/><Relationship Id="rId4" Type="http://schemas.openxmlformats.org/officeDocument/2006/relationships/hyperlink" Target="garantF1://3688201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Алена Ивановна</dc:creator>
  <cp:keywords/>
  <dc:description/>
  <cp:lastModifiedBy>Андрусенко Алена Ивановна</cp:lastModifiedBy>
  <cp:revision>2</cp:revision>
  <dcterms:created xsi:type="dcterms:W3CDTF">2015-08-04T06:30:00Z</dcterms:created>
  <dcterms:modified xsi:type="dcterms:W3CDTF">2015-08-04T06:31:00Z</dcterms:modified>
</cp:coreProperties>
</file>